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56E1A" w14:textId="661F4EA3" w:rsidR="00811663" w:rsidRDefault="00811663" w:rsidP="00A84807">
      <w:pPr>
        <w:spacing w:line="240" w:lineRule="auto"/>
        <w:jc w:val="center"/>
        <w:rPr>
          <w:b/>
          <w:bCs/>
        </w:rPr>
      </w:pPr>
      <w:r w:rsidRPr="00811663">
        <w:rPr>
          <w:b/>
          <w:bCs/>
        </w:rPr>
        <w:t>Title II of the ADA Prohibit</w:t>
      </w:r>
      <w:r w:rsidR="00A56D49">
        <w:rPr>
          <w:b/>
          <w:bCs/>
        </w:rPr>
        <w:t>s</w:t>
      </w:r>
      <w:r w:rsidRPr="00811663">
        <w:rPr>
          <w:b/>
          <w:bCs/>
        </w:rPr>
        <w:t xml:space="preserve"> – and Provide</w:t>
      </w:r>
      <w:r w:rsidR="00A56D49">
        <w:rPr>
          <w:b/>
          <w:bCs/>
        </w:rPr>
        <w:t>s</w:t>
      </w:r>
      <w:r w:rsidRPr="00811663">
        <w:rPr>
          <w:b/>
          <w:bCs/>
        </w:rPr>
        <w:t xml:space="preserve"> a Private Right of Action to Challenge – </w:t>
      </w:r>
      <w:r w:rsidR="00317B54">
        <w:rPr>
          <w:b/>
          <w:bCs/>
        </w:rPr>
        <w:t xml:space="preserve">Failure to Accommodate, </w:t>
      </w:r>
      <w:r w:rsidRPr="00811663">
        <w:rPr>
          <w:b/>
          <w:bCs/>
        </w:rPr>
        <w:t xml:space="preserve">Disparate Impact, Architectural Barriers, and Other </w:t>
      </w:r>
      <w:r w:rsidR="00FC2340">
        <w:rPr>
          <w:b/>
          <w:bCs/>
        </w:rPr>
        <w:t xml:space="preserve">Potentially </w:t>
      </w:r>
      <w:r w:rsidRPr="00811663">
        <w:rPr>
          <w:b/>
          <w:bCs/>
        </w:rPr>
        <w:t>Unintentional Discrimination.</w:t>
      </w:r>
    </w:p>
    <w:p w14:paraId="27CEAB3B" w14:textId="105445BB" w:rsidR="008C022C" w:rsidRDefault="008C022C" w:rsidP="008C022C">
      <w:pPr>
        <w:spacing w:after="0" w:line="240" w:lineRule="auto"/>
        <w:jc w:val="center"/>
        <w:rPr>
          <w:b/>
          <w:bCs/>
        </w:rPr>
      </w:pPr>
      <w:r>
        <w:rPr>
          <w:b/>
          <w:bCs/>
        </w:rPr>
        <w:t>By Amy Robertson</w:t>
      </w:r>
    </w:p>
    <w:p w14:paraId="038A319F" w14:textId="285C0391" w:rsidR="008C022C" w:rsidRPr="00811663" w:rsidRDefault="008C022C" w:rsidP="008C022C">
      <w:pPr>
        <w:spacing w:after="0" w:line="240" w:lineRule="auto"/>
        <w:jc w:val="center"/>
        <w:rPr>
          <w:b/>
          <w:bCs/>
        </w:rPr>
      </w:pPr>
      <w:r>
        <w:rPr>
          <w:b/>
          <w:bCs/>
        </w:rPr>
        <w:t xml:space="preserve">Partner, </w:t>
      </w:r>
      <w:hyperlink r:id="rId11" w:history="1">
        <w:r w:rsidRPr="008C022C">
          <w:rPr>
            <w:rStyle w:val="Hyperlink"/>
            <w:b/>
            <w:bCs/>
          </w:rPr>
          <w:t>Fox &amp; Robertson, PC</w:t>
        </w:r>
      </w:hyperlink>
    </w:p>
    <w:p w14:paraId="216D8110" w14:textId="0AF07CD4" w:rsidR="00811663" w:rsidRPr="0081423F" w:rsidRDefault="00811663" w:rsidP="00FA4B31">
      <w:pPr>
        <w:pStyle w:val="Heading1"/>
      </w:pPr>
      <w:r w:rsidRPr="00AC2C23">
        <w:t>Introduction</w:t>
      </w:r>
      <w:r w:rsidR="0067667C">
        <w:t>.</w:t>
      </w:r>
    </w:p>
    <w:p w14:paraId="00FCFD56" w14:textId="5B168421" w:rsidR="00811663" w:rsidRPr="00811663" w:rsidRDefault="00811663" w:rsidP="00B750AD">
      <w:pPr>
        <w:pStyle w:val="BodyText"/>
      </w:pPr>
      <w:r w:rsidRPr="00811663">
        <w:t>The text of the Americans with Disabilities Act of 1990 (</w:t>
      </w:r>
      <w:r w:rsidR="00BC67E8">
        <w:t>“</w:t>
      </w:r>
      <w:r w:rsidRPr="00811663">
        <w:t>ADA</w:t>
      </w:r>
      <w:r w:rsidR="00BC67E8">
        <w:t>”</w:t>
      </w:r>
      <w:r w:rsidRPr="00811663">
        <w:t>)</w:t>
      </w:r>
      <w:r w:rsidR="00122B26">
        <w:rPr>
          <w:rStyle w:val="FootnoteReference"/>
        </w:rPr>
        <w:footnoteReference w:id="1"/>
      </w:r>
      <w:r w:rsidRPr="00811663">
        <w:t xml:space="preserve"> makes clear that </w:t>
      </w:r>
      <w:r w:rsidR="00135692">
        <w:t xml:space="preserve">Section </w:t>
      </w:r>
      <w:r w:rsidR="00566A92">
        <w:t>12132</w:t>
      </w:r>
      <w:r w:rsidRPr="00811663">
        <w:t xml:space="preserve"> of that statute</w:t>
      </w:r>
      <w:r w:rsidR="00091C58">
        <w:rPr>
          <w:rStyle w:val="FootnoteReference"/>
        </w:rPr>
        <w:footnoteReference w:id="2"/>
      </w:r>
      <w:r w:rsidR="00224D14">
        <w:t xml:space="preserve"> – </w:t>
      </w:r>
      <w:r w:rsidR="00CF15E1">
        <w:t xml:space="preserve">which prohibits disability discrimination by </w:t>
      </w:r>
      <w:r w:rsidR="008D47F4">
        <w:t>public entities such as state and local government agencies</w:t>
      </w:r>
      <w:r w:rsidR="003975CD">
        <w:t xml:space="preserve"> – applies to </w:t>
      </w:r>
      <w:r w:rsidRPr="00811663">
        <w:t>and prohibit</w:t>
      </w:r>
      <w:r w:rsidR="00D6474F">
        <w:t>s</w:t>
      </w:r>
      <w:r w:rsidRPr="00811663">
        <w:t xml:space="preserve"> many forms of unintentional discrimination, </w:t>
      </w:r>
      <w:r w:rsidR="001B473B">
        <w:t xml:space="preserve">such as </w:t>
      </w:r>
      <w:r w:rsidR="001B473B" w:rsidRPr="00811663">
        <w:t>fail</w:t>
      </w:r>
      <w:r w:rsidR="001B473B">
        <w:t>ing</w:t>
      </w:r>
      <w:r w:rsidR="001B473B" w:rsidRPr="00811663">
        <w:t xml:space="preserve"> to make reasonable </w:t>
      </w:r>
      <w:r w:rsidR="001B473B">
        <w:t>modifications to policies and failing to ensure that new construction is accessible</w:t>
      </w:r>
      <w:r w:rsidRPr="00811663">
        <w:t xml:space="preserve">. </w:t>
      </w:r>
      <w:r w:rsidR="00D27085">
        <w:t xml:space="preserve">This </w:t>
      </w:r>
      <w:r w:rsidR="009B53B0">
        <w:t xml:space="preserve">clear textual </w:t>
      </w:r>
      <w:r w:rsidR="004007A0">
        <w:t xml:space="preserve">interpretation </w:t>
      </w:r>
      <w:r w:rsidR="00D27085">
        <w:t xml:space="preserve">is supported by the ADA’s legislative history and </w:t>
      </w:r>
      <w:r w:rsidR="00D6474F">
        <w:t xml:space="preserve">40 years of Supreme Court and </w:t>
      </w:r>
      <w:r w:rsidR="00045689">
        <w:t xml:space="preserve">circuit court </w:t>
      </w:r>
      <w:r w:rsidR="00D10661">
        <w:t>precedent</w:t>
      </w:r>
      <w:r w:rsidR="00D6474F">
        <w:t xml:space="preserve"> interpreting </w:t>
      </w:r>
      <w:r w:rsidR="009B53B0">
        <w:t xml:space="preserve">Section </w:t>
      </w:r>
      <w:r w:rsidR="00A76D86">
        <w:t>12132</w:t>
      </w:r>
      <w:r w:rsidR="00A76D86" w:rsidRPr="00811663">
        <w:t xml:space="preserve"> </w:t>
      </w:r>
      <w:r w:rsidR="00D6474F">
        <w:t>and the statute on which it was modeled, Section 504 of the Rehabilitation Act of 1973</w:t>
      </w:r>
      <w:r w:rsidR="00A76D86">
        <w:t xml:space="preserve"> (“Section 504”)</w:t>
      </w:r>
      <w:r w:rsidR="00D6474F">
        <w:t>.</w:t>
      </w:r>
      <w:r w:rsidR="00A476B6">
        <w:rPr>
          <w:rStyle w:val="FootnoteReference"/>
        </w:rPr>
        <w:footnoteReference w:id="3"/>
      </w:r>
    </w:p>
    <w:p w14:paraId="048F7A67" w14:textId="46D27C90" w:rsidR="00811663" w:rsidRPr="00811663" w:rsidRDefault="00811663" w:rsidP="00C2028C">
      <w:pPr>
        <w:pStyle w:val="BodyText"/>
      </w:pPr>
      <w:r w:rsidRPr="00811663">
        <w:t xml:space="preserve">In recent concurrences, two Sixth Circuit judges have stated their views that </w:t>
      </w:r>
      <w:r w:rsidR="00A476B6">
        <w:t xml:space="preserve">Section </w:t>
      </w:r>
      <w:r w:rsidR="00A76D86">
        <w:t>12132</w:t>
      </w:r>
      <w:r w:rsidR="00A76D86" w:rsidRPr="00811663">
        <w:t xml:space="preserve"> </w:t>
      </w:r>
      <w:r w:rsidR="00A476B6">
        <w:t>of the ADA</w:t>
      </w:r>
      <w:r w:rsidRPr="00811663">
        <w:t xml:space="preserve"> prohibits only intentional discrimination. In his </w:t>
      </w:r>
      <w:r w:rsidR="001E7BEA">
        <w:t xml:space="preserve">August, 2025, </w:t>
      </w:r>
      <w:r w:rsidRPr="00811663">
        <w:t xml:space="preserve">concurrence in </w:t>
      </w:r>
      <w:r w:rsidRPr="00811663">
        <w:rPr>
          <w:i/>
          <w:iCs/>
        </w:rPr>
        <w:t>Reinhart v. City of Birmingham, Michigan</w:t>
      </w:r>
      <w:r w:rsidR="00EF061F">
        <w:t xml:space="preserve"> (</w:t>
      </w:r>
      <w:r w:rsidR="00EF061F" w:rsidRPr="00EF061F">
        <w:rPr>
          <w:i/>
          <w:iCs/>
        </w:rPr>
        <w:t>Reinhart</w:t>
      </w:r>
      <w:r w:rsidR="00EF061F">
        <w:t xml:space="preserve"> Concurrence)</w:t>
      </w:r>
      <w:r w:rsidRPr="00811663">
        <w:t xml:space="preserve">, Judge Chad </w:t>
      </w:r>
      <w:proofErr w:type="spellStart"/>
      <w:r w:rsidRPr="00811663">
        <w:t>Readler</w:t>
      </w:r>
      <w:proofErr w:type="spellEnd"/>
      <w:r w:rsidRPr="00811663">
        <w:t xml:space="preserve"> takes the position that the text of </w:t>
      </w:r>
      <w:r w:rsidR="004E2907">
        <w:t xml:space="preserve">Section </w:t>
      </w:r>
      <w:r w:rsidR="00041ED5">
        <w:t>12132</w:t>
      </w:r>
      <w:r w:rsidRPr="00811663">
        <w:t xml:space="preserve"> “protects against intentional discrimination only.”</w:t>
      </w:r>
      <w:r>
        <w:rPr>
          <w:rStyle w:val="FootnoteReference"/>
        </w:rPr>
        <w:footnoteReference w:id="4"/>
      </w:r>
      <w:r w:rsidRPr="00C72172">
        <w:rPr>
          <w:vertAlign w:val="superscript"/>
        </w:rPr>
        <w:t xml:space="preserve"> </w:t>
      </w:r>
      <w:r w:rsidRPr="00811663">
        <w:t>He further asserts that the reasoning in</w:t>
      </w:r>
      <w:r w:rsidR="00045689">
        <w:t xml:space="preserve"> the 2001 Supreme Court case of</w:t>
      </w:r>
      <w:r w:rsidRPr="00811663">
        <w:t xml:space="preserve"> </w:t>
      </w:r>
      <w:r w:rsidRPr="00811663">
        <w:rPr>
          <w:i/>
          <w:iCs/>
        </w:rPr>
        <w:t>Alexander v. Sandoval</w:t>
      </w:r>
      <w:r w:rsidRPr="00A20A45">
        <w:rPr>
          <w:rStyle w:val="FootnoteReference"/>
        </w:rPr>
        <w:footnoteReference w:id="5"/>
      </w:r>
      <w:r w:rsidRPr="00811663">
        <w:t xml:space="preserve"> requires the conclusion that there is no private right of action to </w:t>
      </w:r>
      <w:r w:rsidRPr="00811663">
        <w:lastRenderedPageBreak/>
        <w:t xml:space="preserve">challenge much of the discrimination prohibited by the Department of Justice </w:t>
      </w:r>
      <w:r w:rsidR="00275DC3">
        <w:t xml:space="preserve">(“DOJ”) </w:t>
      </w:r>
      <w:r w:rsidRPr="00811663">
        <w:t xml:space="preserve">regulations implementing </w:t>
      </w:r>
      <w:r w:rsidR="00B03AA6">
        <w:t xml:space="preserve">Section </w:t>
      </w:r>
      <w:r w:rsidR="00A76D86">
        <w:t>12132</w:t>
      </w:r>
      <w:r w:rsidRPr="00811663">
        <w:t>,</w:t>
      </w:r>
      <w:r w:rsidR="00045689">
        <w:rPr>
          <w:rStyle w:val="FootnoteReference"/>
        </w:rPr>
        <w:footnoteReference w:id="6"/>
      </w:r>
      <w:r w:rsidRPr="00811663">
        <w:t xml:space="preserve"> including – in that case – the failure to ensure that alterations to physical facilities are accessible to disabled people.</w:t>
      </w:r>
      <w:r>
        <w:rPr>
          <w:rStyle w:val="FootnoteReference"/>
        </w:rPr>
        <w:footnoteReference w:id="7"/>
      </w:r>
    </w:p>
    <w:p w14:paraId="0F5770B4" w14:textId="0E3D01B9" w:rsidR="00811663" w:rsidRPr="00811663" w:rsidRDefault="00811663" w:rsidP="00C2028C">
      <w:pPr>
        <w:pStyle w:val="BodyText"/>
      </w:pPr>
      <w:r w:rsidRPr="00811663">
        <w:t>Judge Eric Murphy</w:t>
      </w:r>
      <w:r w:rsidR="0056575E">
        <w:t xml:space="preserve">, </w:t>
      </w:r>
      <w:r w:rsidR="00EE3876">
        <w:t xml:space="preserve">in his </w:t>
      </w:r>
      <w:r w:rsidR="003A76C8">
        <w:t xml:space="preserve">January, 2026, </w:t>
      </w:r>
      <w:r w:rsidRPr="00811663">
        <w:t xml:space="preserve">concurrence in </w:t>
      </w:r>
      <w:r w:rsidRPr="00811663">
        <w:rPr>
          <w:i/>
          <w:iCs/>
        </w:rPr>
        <w:t>Booth v. Lazzara</w:t>
      </w:r>
      <w:r w:rsidR="007C3A68">
        <w:rPr>
          <w:i/>
          <w:iCs/>
        </w:rPr>
        <w:t xml:space="preserve"> </w:t>
      </w:r>
      <w:r w:rsidR="007C3A68">
        <w:t>(</w:t>
      </w:r>
      <w:r w:rsidR="007C3A68" w:rsidRPr="007C3A68">
        <w:rPr>
          <w:i/>
          <w:iCs/>
        </w:rPr>
        <w:t>Booth</w:t>
      </w:r>
      <w:r w:rsidR="007C3A68">
        <w:t xml:space="preserve"> Concurrence)</w:t>
      </w:r>
      <w:r w:rsidRPr="00811663">
        <w:t xml:space="preserve">, </w:t>
      </w:r>
      <w:r w:rsidR="00EE3876">
        <w:t xml:space="preserve">agrees with Judge </w:t>
      </w:r>
      <w:proofErr w:type="spellStart"/>
      <w:r w:rsidR="00EE3876">
        <w:t>Readler</w:t>
      </w:r>
      <w:proofErr w:type="spellEnd"/>
      <w:r w:rsidR="00EE3876">
        <w:t xml:space="preserve"> that </w:t>
      </w:r>
      <w:r w:rsidR="00F3046F">
        <w:t>Section 12132 does not reach unintentional discrimination</w:t>
      </w:r>
      <w:r w:rsidR="0080442C">
        <w:t xml:space="preserve"> and therefore</w:t>
      </w:r>
      <w:r w:rsidR="00325330">
        <w:t>, he concludes,</w:t>
      </w:r>
      <w:r w:rsidR="0080442C">
        <w:t xml:space="preserve"> does not require reasonable accommodations in neutral policies.</w:t>
      </w:r>
      <w:r>
        <w:rPr>
          <w:rStyle w:val="FootnoteReference"/>
        </w:rPr>
        <w:footnoteReference w:id="8"/>
      </w:r>
      <w:r w:rsidR="0080442C" w:rsidRPr="0080442C">
        <w:t xml:space="preserve"> </w:t>
      </w:r>
      <w:r w:rsidR="0080442C">
        <w:t>He does not address the question whether a private right of action exists to enforce the implementing regulations.</w:t>
      </w:r>
    </w:p>
    <w:p w14:paraId="56342F3C" w14:textId="4F65D43D" w:rsidR="005A64E7" w:rsidRDefault="00811663" w:rsidP="00CC565D">
      <w:pPr>
        <w:pStyle w:val="BodyText"/>
      </w:pPr>
      <w:r w:rsidRPr="00811663">
        <w:t xml:space="preserve">This post explains the flaws in the </w:t>
      </w:r>
      <w:r w:rsidR="00F61EF8">
        <w:t xml:space="preserve">research and </w:t>
      </w:r>
      <w:r w:rsidRPr="00811663">
        <w:t>reasoning in these two concurrences</w:t>
      </w:r>
      <w:r w:rsidR="00E3351F">
        <w:t>.</w:t>
      </w:r>
      <w:r w:rsidRPr="00811663">
        <w:t xml:space="preserve"> </w:t>
      </w:r>
      <w:hyperlink w:anchor="_Setting_the_Stage:" w:history="1">
        <w:r w:rsidR="0061300E" w:rsidRPr="00852BD2">
          <w:rPr>
            <w:rStyle w:val="Hyperlink"/>
          </w:rPr>
          <w:t xml:space="preserve">Part </w:t>
        </w:r>
        <w:r w:rsidR="00CC49B3">
          <w:rPr>
            <w:rStyle w:val="Hyperlink"/>
          </w:rPr>
          <w:t>I</w:t>
        </w:r>
        <w:r w:rsidR="0061300E" w:rsidRPr="00852BD2">
          <w:rPr>
            <w:rStyle w:val="Hyperlink"/>
          </w:rPr>
          <w:t>I</w:t>
        </w:r>
      </w:hyperlink>
      <w:r w:rsidR="0061300E">
        <w:t xml:space="preserve"> is an overview of the two </w:t>
      </w:r>
      <w:r w:rsidR="00575189">
        <w:t>opinions</w:t>
      </w:r>
      <w:r w:rsidR="0061300E">
        <w:t xml:space="preserve"> and </w:t>
      </w:r>
      <w:r w:rsidR="00C8682A">
        <w:t xml:space="preserve">the controlling Sixth Circuit </w:t>
      </w:r>
      <w:r w:rsidR="00575189">
        <w:t xml:space="preserve">precedent </w:t>
      </w:r>
      <w:r w:rsidR="001A173D">
        <w:t>that should have stopped them both at the draft stage.</w:t>
      </w:r>
      <w:r w:rsidR="00071411">
        <w:t xml:space="preserve"> </w:t>
      </w:r>
      <w:hyperlink w:anchor="_History,_Text,_and" w:history="1">
        <w:r w:rsidR="00852BD2" w:rsidRPr="00C37BA8">
          <w:rPr>
            <w:rStyle w:val="Hyperlink"/>
          </w:rPr>
          <w:t xml:space="preserve">Part </w:t>
        </w:r>
        <w:r w:rsidR="00CC49B3">
          <w:rPr>
            <w:rStyle w:val="Hyperlink"/>
          </w:rPr>
          <w:t>I</w:t>
        </w:r>
        <w:r w:rsidR="00852BD2" w:rsidRPr="00C37BA8">
          <w:rPr>
            <w:rStyle w:val="Hyperlink"/>
          </w:rPr>
          <w:t>II</w:t>
        </w:r>
      </w:hyperlink>
      <w:r w:rsidR="00852BD2">
        <w:t xml:space="preserve"> describes the history, text, and structure of the </w:t>
      </w:r>
      <w:r w:rsidR="00013BA7">
        <w:t>Americans with Disabilities Act.</w:t>
      </w:r>
      <w:r w:rsidR="00C37BA8">
        <w:t xml:space="preserve"> </w:t>
      </w:r>
      <w:hyperlink w:anchor="_The_Incorporation_of" w:history="1">
        <w:r w:rsidR="00C37BA8" w:rsidRPr="00383EAD">
          <w:rPr>
            <w:rStyle w:val="Hyperlink"/>
          </w:rPr>
          <w:t xml:space="preserve">Part </w:t>
        </w:r>
        <w:r w:rsidR="00CC49B3">
          <w:rPr>
            <w:rStyle w:val="Hyperlink"/>
          </w:rPr>
          <w:t>IV</w:t>
        </w:r>
      </w:hyperlink>
      <w:r w:rsidR="00C37BA8">
        <w:t xml:space="preserve"> explains the </w:t>
      </w:r>
      <w:r w:rsidR="006B7C43">
        <w:t xml:space="preserve">significance of the fact that </w:t>
      </w:r>
      <w:r w:rsidR="00DB73A7">
        <w:t xml:space="preserve">the statutory text of the ADA incorporates </w:t>
      </w:r>
      <w:r w:rsidR="00383EAD">
        <w:t xml:space="preserve">earlier regulations and standards. </w:t>
      </w:r>
      <w:r w:rsidR="009158E4">
        <w:t>The next three part</w:t>
      </w:r>
      <w:r w:rsidR="00C84F81">
        <w:t>s</w:t>
      </w:r>
      <w:r w:rsidR="009158E4">
        <w:t xml:space="preserve"> </w:t>
      </w:r>
      <w:r w:rsidR="00CB0717">
        <w:t>demonstrate that the Concurrences ignore three important sources of textual interpretation: the whole-text canon (</w:t>
      </w:r>
      <w:hyperlink w:anchor="_The_Concurrences_Ignore" w:history="1">
        <w:r w:rsidR="00383EAD" w:rsidRPr="009158E4">
          <w:rPr>
            <w:rStyle w:val="Hyperlink"/>
          </w:rPr>
          <w:t>Part V</w:t>
        </w:r>
      </w:hyperlink>
      <w:r w:rsidR="00CB0717">
        <w:t>); legislative history (</w:t>
      </w:r>
      <w:hyperlink w:anchor="_The_Concurrences_Ignore_1" w:history="1">
        <w:r w:rsidR="00CB0717" w:rsidRPr="00CB0717">
          <w:rPr>
            <w:rStyle w:val="Hyperlink"/>
          </w:rPr>
          <w:t>Part VI</w:t>
        </w:r>
      </w:hyperlink>
      <w:r w:rsidR="00CB0717">
        <w:t>); and 40 years of Supreme Court and circuit precedent (</w:t>
      </w:r>
      <w:hyperlink w:anchor="_The_Concurrences_Ignore_2" w:history="1">
        <w:r w:rsidR="00CB0717" w:rsidRPr="00CB0717">
          <w:rPr>
            <w:rStyle w:val="Hyperlink"/>
          </w:rPr>
          <w:t>Part VII</w:t>
        </w:r>
      </w:hyperlink>
      <w:r w:rsidR="00CB0717">
        <w:t xml:space="preserve">). Finally, </w:t>
      </w:r>
      <w:hyperlink w:anchor="_Remedies_and_Private" w:history="1">
        <w:r w:rsidR="00CB0717" w:rsidRPr="00CC565D">
          <w:rPr>
            <w:rStyle w:val="Hyperlink"/>
          </w:rPr>
          <w:t>Part VIII</w:t>
        </w:r>
      </w:hyperlink>
      <w:r w:rsidR="00CB0717">
        <w:t xml:space="preserve"> explains where the Reinhart Concurrence went wrong in urging that there is no private right of action to enforce </w:t>
      </w:r>
      <w:r w:rsidR="00CC565D">
        <w:t>regulations implementing Title II</w:t>
      </w:r>
      <w:r w:rsidR="001804A9">
        <w:t>.</w:t>
      </w:r>
      <w:r w:rsidR="00383EAD">
        <w:t xml:space="preserve"> </w:t>
      </w:r>
    </w:p>
    <w:p w14:paraId="44DDC7DD" w14:textId="7D0805F7" w:rsidR="0034395D" w:rsidRDefault="0034395D" w:rsidP="0034395D">
      <w:pPr>
        <w:pStyle w:val="BodyText"/>
      </w:pPr>
      <w:r>
        <w:lastRenderedPageBreak/>
        <w:t xml:space="preserve">Both Concurrences conduct textualist analyses of the language of Section 12132 in isolation, ignoring other </w:t>
      </w:r>
      <w:r w:rsidR="001605D6">
        <w:t>prov</w:t>
      </w:r>
      <w:r>
        <w:t xml:space="preserve">isions </w:t>
      </w:r>
      <w:r w:rsidR="004C47D8">
        <w:t>of the ADA</w:t>
      </w:r>
      <w:r w:rsidR="00CA39DC">
        <w:t>’s text</w:t>
      </w:r>
      <w:r w:rsidR="004C47D8">
        <w:t xml:space="preserve"> </w:t>
      </w:r>
      <w:r>
        <w:t>that instruct us how to interpret Section</w:t>
      </w:r>
      <w:r w:rsidR="00A04B2E">
        <w:t xml:space="preserve"> 12132</w:t>
      </w:r>
      <w:r>
        <w:t xml:space="preserve"> and that incorporate by reference earlier regulations</w:t>
      </w:r>
      <w:r w:rsidR="005A6732">
        <w:t xml:space="preserve"> on which the Title II regulations are based</w:t>
      </w:r>
      <w:r>
        <w:t xml:space="preserve">. Crucially, the text of the ADA instructs that Section 12132 be interpreted to provide at least as much protection as regulations implementing Section 504 which regulations, in turn, explicitly prohibit a number of forms of intentional discrimination. A true textualist approach would have to conclude that Section 12132 prohibits both intentional and unintentional discrimination. </w:t>
      </w:r>
    </w:p>
    <w:p w14:paraId="2FB9903B" w14:textId="743A4FD5" w:rsidR="00E3351F" w:rsidRDefault="00636D66" w:rsidP="001E0EB6">
      <w:pPr>
        <w:pStyle w:val="BodyText"/>
      </w:pPr>
      <w:r>
        <w:t>Through this post, I urge that</w:t>
      </w:r>
      <w:r w:rsidR="00CF4181">
        <w:t xml:space="preserve"> </w:t>
      </w:r>
      <w:r>
        <w:t>court</w:t>
      </w:r>
      <w:r w:rsidR="00503431">
        <w:t>s</w:t>
      </w:r>
      <w:r>
        <w:t xml:space="preserve"> </w:t>
      </w:r>
      <w:r w:rsidR="00377314">
        <w:t xml:space="preserve">reject </w:t>
      </w:r>
      <w:r w:rsidR="00316822">
        <w:t xml:space="preserve">the </w:t>
      </w:r>
      <w:r w:rsidR="00377314">
        <w:t>misguided approach</w:t>
      </w:r>
      <w:r w:rsidR="00316822">
        <w:t xml:space="preserve"> of the two concurrences under discussion</w:t>
      </w:r>
      <w:r w:rsidR="00377314">
        <w:t xml:space="preserve">, and I hope to provide a </w:t>
      </w:r>
      <w:r w:rsidR="00377314" w:rsidRPr="00811663">
        <w:t xml:space="preserve">toolkit for </w:t>
      </w:r>
      <w:r w:rsidR="00377314">
        <w:t xml:space="preserve">litigators </w:t>
      </w:r>
      <w:r w:rsidR="00377314" w:rsidRPr="00811663">
        <w:t>countering</w:t>
      </w:r>
      <w:r w:rsidR="00377314">
        <w:t xml:space="preserve"> </w:t>
      </w:r>
      <w:r w:rsidR="00377314" w:rsidRPr="00811663">
        <w:t>these and similar arguments.</w:t>
      </w:r>
    </w:p>
    <w:p w14:paraId="325828B0" w14:textId="2FAC0A16" w:rsidR="00270A15" w:rsidRDefault="00207E56" w:rsidP="00FA4B31">
      <w:pPr>
        <w:pStyle w:val="Heading1"/>
      </w:pPr>
      <w:bookmarkStart w:id="0" w:name="_Setting_the_Stage:"/>
      <w:bookmarkEnd w:id="0"/>
      <w:r>
        <w:t>Setting the Stage:</w:t>
      </w:r>
      <w:r w:rsidR="008A4462">
        <w:t xml:space="preserve"> </w:t>
      </w:r>
      <w:r w:rsidR="000171C2" w:rsidRPr="000171C2">
        <w:rPr>
          <w:i/>
          <w:iCs/>
        </w:rPr>
        <w:t>Reinhart</w:t>
      </w:r>
      <w:r w:rsidR="000171C2">
        <w:t xml:space="preserve">, </w:t>
      </w:r>
      <w:r w:rsidR="000171C2" w:rsidRPr="000171C2">
        <w:rPr>
          <w:i/>
          <w:iCs/>
        </w:rPr>
        <w:t>Booth</w:t>
      </w:r>
      <w:r w:rsidR="000171C2">
        <w:t xml:space="preserve">, and </w:t>
      </w:r>
      <w:r w:rsidR="000171C2" w:rsidRPr="000171C2">
        <w:rPr>
          <w:i/>
          <w:iCs/>
        </w:rPr>
        <w:t>Ability Center</w:t>
      </w:r>
      <w:r w:rsidR="00CF4181">
        <w:rPr>
          <w:i/>
          <w:iCs/>
        </w:rPr>
        <w:t>.</w:t>
      </w:r>
    </w:p>
    <w:p w14:paraId="2240CC15" w14:textId="723DEA0E" w:rsidR="00262B4E" w:rsidRPr="00262B4E" w:rsidRDefault="00514617" w:rsidP="00C2028C">
      <w:pPr>
        <w:pStyle w:val="BodyText"/>
      </w:pPr>
      <w:r>
        <w:t xml:space="preserve">The concurrences in </w:t>
      </w:r>
      <w:r w:rsidRPr="00F31F79">
        <w:rPr>
          <w:i/>
          <w:iCs/>
        </w:rPr>
        <w:t>Reinhart</w:t>
      </w:r>
      <w:r>
        <w:t xml:space="preserve"> and </w:t>
      </w:r>
      <w:r w:rsidRPr="00F31F79">
        <w:rPr>
          <w:i/>
          <w:iCs/>
        </w:rPr>
        <w:t>Booth</w:t>
      </w:r>
      <w:r>
        <w:t xml:space="preserve"> </w:t>
      </w:r>
      <w:r w:rsidR="00A536D5">
        <w:t xml:space="preserve">faced a headwind of </w:t>
      </w:r>
      <w:r w:rsidR="00045689">
        <w:t>Sixth C</w:t>
      </w:r>
      <w:r w:rsidR="00502DBD">
        <w:t xml:space="preserve">ircuit precedent </w:t>
      </w:r>
      <w:r w:rsidR="00045689">
        <w:t>directly contrary to their arguments. I</w:t>
      </w:r>
      <w:r w:rsidR="00502DBD">
        <w:t xml:space="preserve">n </w:t>
      </w:r>
      <w:r w:rsidR="005F5D5B" w:rsidRPr="00F31F79">
        <w:rPr>
          <w:i/>
          <w:iCs/>
        </w:rPr>
        <w:t>Ability Center of Greater Toledo v. City of Sandusky</w:t>
      </w:r>
      <w:r w:rsidR="005F5D5B">
        <w:t xml:space="preserve">, </w:t>
      </w:r>
      <w:r w:rsidR="00045689">
        <w:t xml:space="preserve">that court </w:t>
      </w:r>
      <w:r w:rsidR="005F5D5B">
        <w:t xml:space="preserve">held that </w:t>
      </w:r>
      <w:r w:rsidR="007E0C9F">
        <w:t>Section 12132 required</w:t>
      </w:r>
      <w:r w:rsidR="00E145E1">
        <w:t xml:space="preserve"> new and altered public facilities to be accessible</w:t>
      </w:r>
      <w:r w:rsidR="00382779">
        <w:t>.</w:t>
      </w:r>
      <w:r w:rsidR="00382779">
        <w:rPr>
          <w:rStyle w:val="FootnoteReference"/>
        </w:rPr>
        <w:footnoteReference w:id="9"/>
      </w:r>
      <w:r w:rsidR="0017464F">
        <w:t xml:space="preserve"> </w:t>
      </w:r>
      <w:r w:rsidR="00584026">
        <w:t xml:space="preserve">The </w:t>
      </w:r>
      <w:r w:rsidR="00584026" w:rsidRPr="00262B4E">
        <w:rPr>
          <w:i/>
          <w:iCs/>
        </w:rPr>
        <w:t>Ability Center</w:t>
      </w:r>
      <w:r w:rsidR="00584026">
        <w:t xml:space="preserve"> court</w:t>
      </w:r>
      <w:r w:rsidR="0075279B">
        <w:t xml:space="preserve"> then</w:t>
      </w:r>
      <w:r w:rsidR="00584026">
        <w:t xml:space="preserve"> analyzed the regulation</w:t>
      </w:r>
      <w:r w:rsidR="003330FA">
        <w:t>s</w:t>
      </w:r>
      <w:r w:rsidR="00584026">
        <w:t xml:space="preserve"> enforcing Section 12132 </w:t>
      </w:r>
      <w:r w:rsidR="0075279B">
        <w:t xml:space="preserve">– </w:t>
      </w:r>
      <w:r w:rsidR="003330FA">
        <w:t xml:space="preserve">specifically 28 C.F.R. § 35.151, </w:t>
      </w:r>
      <w:r w:rsidR="0075279B">
        <w:t xml:space="preserve">requiring accessible public facilities – </w:t>
      </w:r>
      <w:r w:rsidR="00DB1B9C">
        <w:t>in light of</w:t>
      </w:r>
      <w:r w:rsidR="00584026">
        <w:t xml:space="preserve"> the Supreme Court’s holding in </w:t>
      </w:r>
      <w:r w:rsidR="00584026" w:rsidRPr="00AC651D">
        <w:rPr>
          <w:i/>
          <w:iCs/>
        </w:rPr>
        <w:t>Sandoval</w:t>
      </w:r>
      <w:r w:rsidR="00584026">
        <w:t xml:space="preserve"> that </w:t>
      </w:r>
      <w:r w:rsidR="00A60EFA">
        <w:t>“</w:t>
      </w:r>
      <w:r w:rsidR="00A73BE6">
        <w:t xml:space="preserve">a </w:t>
      </w:r>
      <w:r w:rsidR="00A60EFA" w:rsidRPr="00A60EFA">
        <w:t xml:space="preserve">private plaintiff cannot enforce a regulation through a private cause of action generally available under the controlling statute if the regulation imposes an obligation or prohibition that is not imposed generally by the </w:t>
      </w:r>
      <w:r w:rsidR="00A60EFA" w:rsidRPr="00A60EFA">
        <w:lastRenderedPageBreak/>
        <w:t>controlling statute.</w:t>
      </w:r>
      <w:r w:rsidR="00A60EFA">
        <w:t>”</w:t>
      </w:r>
      <w:r w:rsidR="00A60EFA">
        <w:rPr>
          <w:rStyle w:val="FootnoteReference"/>
        </w:rPr>
        <w:footnoteReference w:id="10"/>
      </w:r>
      <w:r w:rsidR="00262B4E">
        <w:t xml:space="preserve"> </w:t>
      </w:r>
      <w:r w:rsidR="00045689">
        <w:t xml:space="preserve">The </w:t>
      </w:r>
      <w:r w:rsidR="00A70190" w:rsidRPr="00A70190">
        <w:rPr>
          <w:i/>
          <w:iCs/>
        </w:rPr>
        <w:t>Ability Center</w:t>
      </w:r>
      <w:r w:rsidR="00A70190">
        <w:t xml:space="preserve"> </w:t>
      </w:r>
      <w:r w:rsidR="00045689">
        <w:t xml:space="preserve">court </w:t>
      </w:r>
      <w:r w:rsidR="00262B4E">
        <w:t xml:space="preserve">concluded that </w:t>
      </w:r>
      <w:r w:rsidR="00DF23E9">
        <w:t>Section 35.151</w:t>
      </w:r>
      <w:r w:rsidR="00262B4E">
        <w:t xml:space="preserve"> “</w:t>
      </w:r>
      <w:r w:rsidR="00262B4E" w:rsidRPr="00262B4E">
        <w:t>effectuate</w:t>
      </w:r>
      <w:r w:rsidR="00B73C88">
        <w:t>s</w:t>
      </w:r>
      <w:r w:rsidR="00262B4E" w:rsidRPr="00262B4E">
        <w:t xml:space="preserve"> a mandate of Title II and </w:t>
      </w:r>
      <w:r w:rsidR="00B73C88">
        <w:t>is</w:t>
      </w:r>
      <w:r w:rsidR="00262B4E" w:rsidRPr="00262B4E">
        <w:t xml:space="preserve"> therefore enforceable through the private cause of action available under the statute</w:t>
      </w:r>
      <w:r w:rsidR="00262B4E">
        <w:t>.”</w:t>
      </w:r>
      <w:r w:rsidR="00262B4E">
        <w:rPr>
          <w:rStyle w:val="FootnoteReference"/>
        </w:rPr>
        <w:footnoteReference w:id="11"/>
      </w:r>
    </w:p>
    <w:p w14:paraId="488FA1A3" w14:textId="002A4E50" w:rsidR="000171C2" w:rsidRDefault="00045689" w:rsidP="002F7E7F">
      <w:pPr>
        <w:pStyle w:val="BodyText"/>
      </w:pPr>
      <w:r>
        <w:t xml:space="preserve">The plaintiff in </w:t>
      </w:r>
      <w:r w:rsidRPr="001159C9">
        <w:rPr>
          <w:i/>
          <w:iCs/>
        </w:rPr>
        <w:t>Reinhart v. City of Birmingham</w:t>
      </w:r>
      <w:r>
        <w:t xml:space="preserve"> </w:t>
      </w:r>
      <w:r w:rsidR="00727CEB">
        <w:t xml:space="preserve">had a mobility disability that made it difficult to walk. He challenged measures taken by the city </w:t>
      </w:r>
      <w:r w:rsidR="00A70190">
        <w:t>that</w:t>
      </w:r>
      <w:r w:rsidR="00727CEB">
        <w:t xml:space="preserve"> decrease</w:t>
      </w:r>
      <w:r w:rsidR="00A70190">
        <w:t>d</w:t>
      </w:r>
      <w:r w:rsidR="00727CEB">
        <w:t xml:space="preserve"> accessible on-street parking under </w:t>
      </w:r>
      <w:r w:rsidR="00CE13E9">
        <w:t xml:space="preserve">Section </w:t>
      </w:r>
      <w:r w:rsidR="00727CEB">
        <w:t xml:space="preserve">35.151, </w:t>
      </w:r>
      <w:r w:rsidR="000255CB">
        <w:t xml:space="preserve">the </w:t>
      </w:r>
      <w:r w:rsidR="00906A7B">
        <w:t xml:space="preserve">same regulation at issue in </w:t>
      </w:r>
      <w:r w:rsidR="00906A7B" w:rsidRPr="00906A7B">
        <w:rPr>
          <w:i/>
          <w:iCs/>
        </w:rPr>
        <w:t>Ability Center</w:t>
      </w:r>
      <w:r w:rsidR="00906A7B">
        <w:t>.</w:t>
      </w:r>
      <w:r w:rsidR="002F7E7F">
        <w:t xml:space="preserve"> </w:t>
      </w:r>
      <w:r w:rsidR="00727CEB">
        <w:t xml:space="preserve">The </w:t>
      </w:r>
      <w:r w:rsidR="00CB1D78">
        <w:t>court’s</w:t>
      </w:r>
      <w:r w:rsidR="003E4C79">
        <w:t xml:space="preserve"> </w:t>
      </w:r>
      <w:r w:rsidR="00727CEB">
        <w:t xml:space="preserve">decision noted that, based on </w:t>
      </w:r>
      <w:r w:rsidR="00727CEB" w:rsidRPr="001159C9">
        <w:rPr>
          <w:i/>
          <w:iCs/>
        </w:rPr>
        <w:t>Ability Center</w:t>
      </w:r>
      <w:r w:rsidR="00727CEB">
        <w:t>, the plaintiff had a private right of action to enforce this regulation but went on to hold that there was no discrimination on the basis of disability</w:t>
      </w:r>
      <w:r w:rsidR="003E4C79">
        <w:t>,</w:t>
      </w:r>
      <w:r w:rsidR="00727CEB">
        <w:t xml:space="preserve"> as parking </w:t>
      </w:r>
      <w:r w:rsidR="0018605D">
        <w:t>in</w:t>
      </w:r>
      <w:r w:rsidR="00727CEB">
        <w:t xml:space="preserve"> the challenged area had been reduced for everyone, disabled and non-disabled.</w:t>
      </w:r>
      <w:r w:rsidR="00727CEB">
        <w:rPr>
          <w:rStyle w:val="FootnoteReference"/>
        </w:rPr>
        <w:footnoteReference w:id="12"/>
      </w:r>
      <w:r w:rsidR="00727CEB">
        <w:t xml:space="preserve"> The decision also held that the plaintiff had not established </w:t>
      </w:r>
      <w:r w:rsidR="006F626E">
        <w:t>his separate</w:t>
      </w:r>
      <w:r w:rsidR="00727CEB">
        <w:t xml:space="preserve"> claim for intentional discrimination.</w:t>
      </w:r>
      <w:r w:rsidR="00727CEB">
        <w:rPr>
          <w:rStyle w:val="FootnoteReference"/>
        </w:rPr>
        <w:footnoteReference w:id="13"/>
      </w:r>
    </w:p>
    <w:p w14:paraId="22DFD216" w14:textId="07703721" w:rsidR="000171C2" w:rsidRDefault="00727CEB" w:rsidP="00C2028C">
      <w:pPr>
        <w:pStyle w:val="BodyText"/>
      </w:pPr>
      <w:r>
        <w:t xml:space="preserve">Judge </w:t>
      </w:r>
      <w:proofErr w:type="spellStart"/>
      <w:r>
        <w:t>Readler</w:t>
      </w:r>
      <w:proofErr w:type="spellEnd"/>
      <w:r>
        <w:t xml:space="preserve"> </w:t>
      </w:r>
      <w:r w:rsidR="007F27FC">
        <w:t xml:space="preserve">joined the </w:t>
      </w:r>
      <w:r w:rsidR="00322392">
        <w:t>decision</w:t>
      </w:r>
      <w:r>
        <w:t>, but</w:t>
      </w:r>
      <w:r w:rsidR="006F626E">
        <w:t xml:space="preserve"> also</w:t>
      </w:r>
      <w:r>
        <w:t xml:space="preserve"> wrote separately and at length to explain his disagreement with </w:t>
      </w:r>
      <w:r w:rsidRPr="001159C9">
        <w:rPr>
          <w:i/>
          <w:iCs/>
        </w:rPr>
        <w:t>Ability Center</w:t>
      </w:r>
      <w:r>
        <w:t xml:space="preserve"> and his views that</w:t>
      </w:r>
      <w:r w:rsidR="0068056C">
        <w:t>:</w:t>
      </w:r>
      <w:r>
        <w:t xml:space="preserve"> (1) Section 12132 prohibit</w:t>
      </w:r>
      <w:r w:rsidR="00DF1C10">
        <w:t>s</w:t>
      </w:r>
      <w:r>
        <w:t xml:space="preserve"> only intentional discrimination; and thus that (2) </w:t>
      </w:r>
      <w:r w:rsidR="001159C9">
        <w:t xml:space="preserve">any of the implementing regulations – such as </w:t>
      </w:r>
      <w:r w:rsidR="00C9215D">
        <w:t xml:space="preserve">Section </w:t>
      </w:r>
      <w:r w:rsidR="001159C9">
        <w:t xml:space="preserve">35.151 – that prohibit ostensibly unintentional discrimination </w:t>
      </w:r>
      <w:r w:rsidR="00DF1C10">
        <w:t>are</w:t>
      </w:r>
      <w:r w:rsidR="001159C9">
        <w:t xml:space="preserve"> not enforceable through a private right of action.</w:t>
      </w:r>
      <w:r w:rsidR="008A4462">
        <w:t xml:space="preserve"> </w:t>
      </w:r>
    </w:p>
    <w:p w14:paraId="33B0239E" w14:textId="5B5DF198" w:rsidR="00045E37" w:rsidRDefault="009D0BA2" w:rsidP="00C2028C">
      <w:pPr>
        <w:pStyle w:val="BodyText"/>
      </w:pPr>
      <w:r>
        <w:t xml:space="preserve">The plaintiff in </w:t>
      </w:r>
      <w:r w:rsidRPr="009D0BA2">
        <w:rPr>
          <w:i/>
          <w:iCs/>
        </w:rPr>
        <w:t>Booth v. Lazzara</w:t>
      </w:r>
      <w:r>
        <w:t xml:space="preserve"> was the administrator of the estate of a disabled person who had been killed in an encounter with the police while suffering a mental health crisis. </w:t>
      </w:r>
      <w:r w:rsidR="007406B1">
        <w:t xml:space="preserve">The plaintiff alleged, among other claims, that the police had violated Section 12132 </w:t>
      </w:r>
      <w:r w:rsidR="007406B1">
        <w:lastRenderedPageBreak/>
        <w:t xml:space="preserve">by failing to accommodate the decedent’s disability </w:t>
      </w:r>
      <w:r w:rsidR="005D0FC6">
        <w:t xml:space="preserve">in the process of taking him </w:t>
      </w:r>
      <w:r w:rsidR="002C6B46">
        <w:t>into custody</w:t>
      </w:r>
      <w:r w:rsidR="007406B1">
        <w:t>.</w:t>
      </w:r>
      <w:r w:rsidR="007406B1">
        <w:rPr>
          <w:rStyle w:val="FootnoteReference"/>
        </w:rPr>
        <w:footnoteReference w:id="14"/>
      </w:r>
      <w:r>
        <w:t xml:space="preserve"> Judge Murphy wrote for the court and also wrote a concurrence. The opinion of the court </w:t>
      </w:r>
      <w:r w:rsidR="007406B1">
        <w:t>noted that Section 12132 “</w:t>
      </w:r>
      <w:r w:rsidR="007406B1" w:rsidRPr="007406B1">
        <w:t xml:space="preserve">sometimes requires governments to make </w:t>
      </w:r>
      <w:r w:rsidR="007406B1">
        <w:t>‘</w:t>
      </w:r>
      <w:r w:rsidR="007406B1" w:rsidRPr="007406B1">
        <w:t>reasonable accommodation[s]</w:t>
      </w:r>
      <w:r w:rsidR="007806E4">
        <w:t>’</w:t>
      </w:r>
      <w:r w:rsidR="007406B1" w:rsidRPr="007406B1">
        <w:t xml:space="preserve"> to </w:t>
      </w:r>
      <w:r w:rsidR="007406B1">
        <w:t>[their]</w:t>
      </w:r>
      <w:r w:rsidR="007406B1" w:rsidRPr="007406B1">
        <w:t xml:space="preserve"> policies</w:t>
      </w:r>
      <w:r w:rsidR="007406B1">
        <w:t>,” but ultimately held that the plaintiff “</w:t>
      </w:r>
      <w:r w:rsidR="00890E76">
        <w:t>[</w:t>
      </w:r>
      <w:r w:rsidR="007406B1" w:rsidRPr="007406B1">
        <w:t>ha</w:t>
      </w:r>
      <w:r w:rsidR="007406B1">
        <w:t>d</w:t>
      </w:r>
      <w:r w:rsidR="00890E76">
        <w:t>]</w:t>
      </w:r>
      <w:r w:rsidR="007406B1" w:rsidRPr="007406B1">
        <w:t xml:space="preserve"> not identified a reasonable accommodation as a matter of law.</w:t>
      </w:r>
      <w:r w:rsidR="007406B1">
        <w:t>”</w:t>
      </w:r>
      <w:r w:rsidR="007406B1">
        <w:rPr>
          <w:rStyle w:val="FootnoteReference"/>
        </w:rPr>
        <w:footnoteReference w:id="15"/>
      </w:r>
      <w:r w:rsidR="007406B1">
        <w:t xml:space="preserve"> </w:t>
      </w:r>
    </w:p>
    <w:p w14:paraId="195E197E" w14:textId="2782F3CE" w:rsidR="00A63BBB" w:rsidRPr="000171C2" w:rsidRDefault="00C85282" w:rsidP="00C2028C">
      <w:pPr>
        <w:pStyle w:val="BodyText"/>
      </w:pPr>
      <w:r>
        <w:t xml:space="preserve">In his concurrence, however, </w:t>
      </w:r>
      <w:r w:rsidR="007406B1">
        <w:t xml:space="preserve">Judge Murphy </w:t>
      </w:r>
      <w:r w:rsidR="00264973">
        <w:t>state</w:t>
      </w:r>
      <w:r w:rsidR="00A811C5">
        <w:t>d</w:t>
      </w:r>
      <w:r w:rsidR="00264973">
        <w:t xml:space="preserve"> that he </w:t>
      </w:r>
      <w:r w:rsidR="00A811C5">
        <w:t xml:space="preserve">did </w:t>
      </w:r>
      <w:r w:rsidR="00264973">
        <w:t xml:space="preserve">not see “how § 12132’s </w:t>
      </w:r>
      <w:r w:rsidR="007406B1">
        <w:t>text imposes</w:t>
      </w:r>
      <w:r w:rsidR="008C47AE">
        <w:t>”</w:t>
      </w:r>
      <w:r w:rsidR="007406B1">
        <w:t xml:space="preserve"> a requirement of reasonable accommodations to general policies.</w:t>
      </w:r>
      <w:r w:rsidR="007406B1">
        <w:rPr>
          <w:rStyle w:val="FootnoteReference"/>
        </w:rPr>
        <w:footnoteReference w:id="16"/>
      </w:r>
      <w:r w:rsidR="00CE5DA4">
        <w:t xml:space="preserve"> </w:t>
      </w:r>
      <w:r w:rsidR="00E60BC4">
        <w:t xml:space="preserve">The </w:t>
      </w:r>
      <w:r w:rsidR="00875807" w:rsidRPr="00875807">
        <w:rPr>
          <w:i/>
          <w:iCs/>
        </w:rPr>
        <w:t>Booth</w:t>
      </w:r>
      <w:r w:rsidR="00875807">
        <w:t xml:space="preserve"> Concurrence </w:t>
      </w:r>
      <w:r w:rsidR="00816317">
        <w:t xml:space="preserve">largely tracks the </w:t>
      </w:r>
      <w:r w:rsidR="00CA6B2C">
        <w:t>arguments</w:t>
      </w:r>
      <w:r w:rsidR="00816317">
        <w:t xml:space="preserve"> set forth in the </w:t>
      </w:r>
      <w:r w:rsidR="00816317" w:rsidRPr="00A63BBB">
        <w:rPr>
          <w:i/>
          <w:iCs/>
        </w:rPr>
        <w:t>Reinhart</w:t>
      </w:r>
      <w:r w:rsidR="00816317">
        <w:t xml:space="preserve"> Concurrence</w:t>
      </w:r>
      <w:r w:rsidR="00A63BBB">
        <w:t xml:space="preserve"> in arriving at </w:t>
      </w:r>
      <w:r w:rsidR="00846042">
        <w:t xml:space="preserve">these </w:t>
      </w:r>
      <w:r w:rsidR="00A63BBB">
        <w:t>conclusion</w:t>
      </w:r>
      <w:r w:rsidR="00846042">
        <w:t>s</w:t>
      </w:r>
      <w:r w:rsidR="00C172ED">
        <w:t>; it did not, however, address the question of a private right of action to enforce the regulations.</w:t>
      </w:r>
    </w:p>
    <w:p w14:paraId="274D4A5E" w14:textId="2D3A9872" w:rsidR="003C4F1B" w:rsidRDefault="00893D67" w:rsidP="00FA4B31">
      <w:pPr>
        <w:pStyle w:val="Heading1"/>
      </w:pPr>
      <w:bookmarkStart w:id="1" w:name="_History,_Text,_and"/>
      <w:bookmarkEnd w:id="1"/>
      <w:r>
        <w:t>History, Text</w:t>
      </w:r>
      <w:r w:rsidR="006067AD">
        <w:t>,</w:t>
      </w:r>
      <w:r>
        <w:t xml:space="preserve"> and Structure of the ADA</w:t>
      </w:r>
      <w:r w:rsidR="0067667C">
        <w:t>.</w:t>
      </w:r>
      <w:r w:rsidR="00A04824">
        <w:rPr>
          <w:rStyle w:val="FootnoteReference"/>
        </w:rPr>
        <w:footnoteReference w:id="17"/>
      </w:r>
    </w:p>
    <w:p w14:paraId="42612775" w14:textId="0205B092" w:rsidR="00893D67" w:rsidRDefault="00BE71BB" w:rsidP="00C2028C">
      <w:pPr>
        <w:pStyle w:val="BodyText"/>
      </w:pPr>
      <w:r>
        <w:t xml:space="preserve">A bit of background will be helpful to understanding where these two concurrences went wrong. </w:t>
      </w:r>
    </w:p>
    <w:p w14:paraId="65E25BBF" w14:textId="35437412" w:rsidR="00893D67" w:rsidRDefault="00BE71BB" w:rsidP="00FA4B31">
      <w:pPr>
        <w:pStyle w:val="Heading2"/>
      </w:pPr>
      <w:r>
        <w:t>History</w:t>
      </w:r>
      <w:r w:rsidR="0067667C">
        <w:t>.</w:t>
      </w:r>
      <w:r>
        <w:t xml:space="preserve"> </w:t>
      </w:r>
    </w:p>
    <w:p w14:paraId="57A9AEA3" w14:textId="1B0031F9" w:rsidR="004A6D1F" w:rsidRDefault="004A6D1F" w:rsidP="00C2028C">
      <w:pPr>
        <w:pStyle w:val="BodyText"/>
      </w:pPr>
      <w:r>
        <w:t>In 1973, Congress passed the Rehabilitation Act.</w:t>
      </w:r>
      <w:r w:rsidR="003D2219">
        <w:t xml:space="preserve"> </w:t>
      </w:r>
      <w:r>
        <w:t xml:space="preserve">Section 504 of </w:t>
      </w:r>
      <w:r w:rsidR="00814FB2">
        <w:t xml:space="preserve">that statute </w:t>
      </w:r>
      <w:r>
        <w:t xml:space="preserve">contained the landmark prohibition on disability discrimination by recipients of federal </w:t>
      </w:r>
      <w:r>
        <w:lastRenderedPageBreak/>
        <w:t>funding.</w:t>
      </w:r>
      <w:r w:rsidR="00522D85">
        <w:rPr>
          <w:rStyle w:val="FootnoteReference"/>
        </w:rPr>
        <w:footnoteReference w:id="18"/>
      </w:r>
      <w:r w:rsidR="003D2219">
        <w:t xml:space="preserve"> </w:t>
      </w:r>
      <w:r>
        <w:t xml:space="preserve">Although Section 504 did not contain an express delegation of rulemaking authority, the first regulations implementing Section 504 were promulgated by </w:t>
      </w:r>
      <w:r w:rsidR="00794148">
        <w:t>the (then) Department of Health, Education, and Welfare (“</w:t>
      </w:r>
      <w:r>
        <w:t>HEW</w:t>
      </w:r>
      <w:r w:rsidR="00794148">
        <w:t>”)</w:t>
      </w:r>
      <w:r>
        <w:t xml:space="preserve"> on May 4, 1977.</w:t>
      </w:r>
      <w:r w:rsidR="00522D85">
        <w:rPr>
          <w:rStyle w:val="FootnoteReference"/>
        </w:rPr>
        <w:footnoteReference w:id="19"/>
      </w:r>
      <w:r w:rsidR="003D2219">
        <w:t xml:space="preserve"> </w:t>
      </w:r>
      <w:r>
        <w:t>In 1978, pursuant to Executive Order 11914,</w:t>
      </w:r>
      <w:r w:rsidR="000D0B80">
        <w:rPr>
          <w:rStyle w:val="FootnoteReference"/>
        </w:rPr>
        <w:footnoteReference w:id="20"/>
      </w:r>
      <w:r>
        <w:t xml:space="preserve"> HEW issued</w:t>
      </w:r>
      <w:r w:rsidR="00A7066D">
        <w:t xml:space="preserve"> an additional set of</w:t>
      </w:r>
      <w:r w:rsidR="008A4462">
        <w:t xml:space="preserve"> </w:t>
      </w:r>
      <w:r>
        <w:t>regulations that were to “provide for consistent governmentwide enforcement of section 504” (</w:t>
      </w:r>
      <w:r w:rsidR="000A6E2B">
        <w:t xml:space="preserve">the </w:t>
      </w:r>
      <w:r>
        <w:t>“HEW Coordination Regulations”).</w:t>
      </w:r>
      <w:r w:rsidR="000D0B80">
        <w:rPr>
          <w:rStyle w:val="FootnoteReference"/>
        </w:rPr>
        <w:footnoteReference w:id="21"/>
      </w:r>
      <w:r w:rsidR="003D2219">
        <w:t xml:space="preserve"> </w:t>
      </w:r>
      <w:r>
        <w:t xml:space="preserve">These </w:t>
      </w:r>
      <w:r w:rsidR="00A7066D">
        <w:t xml:space="preserve">HEW </w:t>
      </w:r>
      <w:r>
        <w:t>Coordination Regulations</w:t>
      </w:r>
      <w:r w:rsidR="00D97582">
        <w:t xml:space="preserve"> – </w:t>
      </w:r>
      <w:r>
        <w:t xml:space="preserve">which largely tracked the original 1977 HEW </w:t>
      </w:r>
      <w:r w:rsidR="006A062E">
        <w:t xml:space="preserve">regulations </w:t>
      </w:r>
      <w:r w:rsidR="00D97582">
        <w:t xml:space="preserve">– </w:t>
      </w:r>
      <w:r w:rsidR="006A062E">
        <w:t>provided</w:t>
      </w:r>
      <w:r>
        <w:t xml:space="preserve"> a template for other agencies issuing Section 504 regulations prohibiting disability discrimination by their funding recipients.</w:t>
      </w:r>
      <w:r w:rsidR="00DF3677">
        <w:rPr>
          <w:rStyle w:val="FootnoteReference"/>
        </w:rPr>
        <w:footnoteReference w:id="22"/>
      </w:r>
      <w:r w:rsidR="003D2219">
        <w:t xml:space="preserve"> </w:t>
      </w:r>
      <w:r>
        <w:t xml:space="preserve">As explained below, these 1978 </w:t>
      </w:r>
      <w:r w:rsidR="00C1717E">
        <w:t xml:space="preserve">HEW </w:t>
      </w:r>
      <w:r>
        <w:t xml:space="preserve">Coordination Regulations would become </w:t>
      </w:r>
      <w:r w:rsidR="003E1BEE">
        <w:t>the foundation</w:t>
      </w:r>
      <w:r>
        <w:t xml:space="preserve"> for later statutes and cases.</w:t>
      </w:r>
    </w:p>
    <w:p w14:paraId="6D90DFB6" w14:textId="55975B38" w:rsidR="004A6D1F" w:rsidRDefault="004A6D1F" w:rsidP="00C2028C">
      <w:pPr>
        <w:pStyle w:val="BodyText"/>
      </w:pPr>
      <w:r>
        <w:t>In 1978, Congress amended Section 504, expanding its coverage beyond recipients of federal funding to prohibit disability discrimination by federal agencies as well.</w:t>
      </w:r>
      <w:r w:rsidR="003D2219">
        <w:t xml:space="preserve"> </w:t>
      </w:r>
      <w:r>
        <w:t>The amended statutory language expressly instructed each agency to promulgate implementing regulations and to submit the regulations to the appropriate authorizing committees in Congress.</w:t>
      </w:r>
      <w:r w:rsidR="00DF3677">
        <w:rPr>
          <w:rStyle w:val="FootnoteReference"/>
        </w:rPr>
        <w:footnoteReference w:id="23"/>
      </w:r>
      <w:r w:rsidR="003D2219">
        <w:t xml:space="preserve"> </w:t>
      </w:r>
      <w:r>
        <w:t xml:space="preserve">Following the issuance of the HEW Coordination Regulations and the 1978 statutory amendment, more than 90 agencies and other executive </w:t>
      </w:r>
      <w:r>
        <w:lastRenderedPageBreak/>
        <w:t>administrative bodies have promulgated regulations implementing Section 504 as to both the agencies themselves (“agency regulations”) and as to recipients of their funding (“recipient regulations”).</w:t>
      </w:r>
      <w:r w:rsidR="003D2219">
        <w:t xml:space="preserve"> </w:t>
      </w:r>
      <w:r>
        <w:t xml:space="preserve">All of these regulations are based on and very similar to the HEW (now </w:t>
      </w:r>
      <w:r w:rsidR="00456787">
        <w:t>Department of Justice</w:t>
      </w:r>
      <w:r>
        <w:t>) Coordination Regulations.</w:t>
      </w:r>
      <w:r w:rsidR="003B712F">
        <w:rPr>
          <w:rStyle w:val="FootnoteReference"/>
        </w:rPr>
        <w:footnoteReference w:id="24"/>
      </w:r>
      <w:r w:rsidR="003D2219">
        <w:t xml:space="preserve"> </w:t>
      </w:r>
    </w:p>
    <w:p w14:paraId="4FE49CAA" w14:textId="09BF7732" w:rsidR="004A6D1F" w:rsidRDefault="004A6D1F" w:rsidP="00C2028C">
      <w:pPr>
        <w:pStyle w:val="BodyText"/>
      </w:pPr>
      <w:r>
        <w:t xml:space="preserve">The 1978 amendments to the Rehabilitation Act also specifically delegated to the </w:t>
      </w:r>
      <w:r w:rsidR="00E73ADE" w:rsidRPr="00E73ADE">
        <w:t xml:space="preserve">Architectural and Transportation Barriers Compliance Board </w:t>
      </w:r>
      <w:r w:rsidR="00E73ADE">
        <w:t>(“</w:t>
      </w:r>
      <w:r>
        <w:t>Access Board</w:t>
      </w:r>
      <w:r w:rsidR="00E73ADE">
        <w:t>”)</w:t>
      </w:r>
      <w:r>
        <w:t xml:space="preserve"> the authority to establish standards to implement the </w:t>
      </w:r>
      <w:r w:rsidR="00E73ADE">
        <w:t>Architectural Barriers Act</w:t>
      </w:r>
      <w:r>
        <w:t>.</w:t>
      </w:r>
      <w:r w:rsidR="00837F01">
        <w:rPr>
          <w:rStyle w:val="FootnoteReference"/>
        </w:rPr>
        <w:footnoteReference w:id="25"/>
      </w:r>
      <w:r w:rsidR="003D2219">
        <w:t xml:space="preserve"> </w:t>
      </w:r>
      <w:r>
        <w:t>Accordingly, in 1981, the Access Board issued its Minimum Guidelines and Requirements for Accessible Design (“MGRAD”), a robust set of architectural standards drafted to ensure that covered facilities were readily accessible to and useable by disabled people.</w:t>
      </w:r>
      <w:r w:rsidR="00CA3BF4">
        <w:rPr>
          <w:rStyle w:val="FootnoteReference"/>
        </w:rPr>
        <w:footnoteReference w:id="26"/>
      </w:r>
    </w:p>
    <w:p w14:paraId="10A7B80C" w14:textId="7FD98075" w:rsidR="003C4F1B" w:rsidRPr="00811663" w:rsidRDefault="00943122" w:rsidP="00C2028C">
      <w:pPr>
        <w:pStyle w:val="BodyText"/>
      </w:pPr>
      <w:r>
        <w:t xml:space="preserve">This was </w:t>
      </w:r>
      <w:r w:rsidR="00E22022">
        <w:t xml:space="preserve">roughly </w:t>
      </w:r>
      <w:r>
        <w:t>the state of play when the ADA was enacted in 1990.</w:t>
      </w:r>
      <w:r w:rsidR="003D2219">
        <w:t xml:space="preserve"> </w:t>
      </w:r>
    </w:p>
    <w:p w14:paraId="25A6B7F9" w14:textId="7339CABF" w:rsidR="00501F80" w:rsidRDefault="00383D7A" w:rsidP="00501F80">
      <w:pPr>
        <w:pStyle w:val="Heading2"/>
      </w:pPr>
      <w:r>
        <w:t xml:space="preserve">The Text </w:t>
      </w:r>
      <w:r w:rsidR="00E74594">
        <w:t xml:space="preserve">and Structure </w:t>
      </w:r>
      <w:r>
        <w:t>of the ADA</w:t>
      </w:r>
      <w:r w:rsidR="0067667C">
        <w:t>.</w:t>
      </w:r>
    </w:p>
    <w:p w14:paraId="1CA2A7AC" w14:textId="52A9AE25" w:rsidR="00501F80" w:rsidRPr="00501F80" w:rsidRDefault="00501F80" w:rsidP="00501F80">
      <w:pPr>
        <w:pStyle w:val="BodyText"/>
      </w:pPr>
      <w:r w:rsidRPr="00501F80">
        <w:t>This section sets forth the statutory provisions that make clear that Section 12132 reaches intentional discrimination.</w:t>
      </w:r>
    </w:p>
    <w:p w14:paraId="61489026" w14:textId="1F7E9203" w:rsidR="0035201E" w:rsidRDefault="0035201E" w:rsidP="00BE71BB">
      <w:pPr>
        <w:pStyle w:val="Heading3"/>
      </w:pPr>
      <w:r>
        <w:t>Findings and Purpose</w:t>
      </w:r>
      <w:r w:rsidR="0067667C">
        <w:t>.</w:t>
      </w:r>
    </w:p>
    <w:p w14:paraId="68BF3D9C" w14:textId="67707BC1" w:rsidR="0091199E" w:rsidRDefault="00C43F12" w:rsidP="00C2028C">
      <w:pPr>
        <w:pStyle w:val="BodyText"/>
      </w:pPr>
      <w:r>
        <w:t>President George H.W. Bush signed the ADA into law on July 26, 1990.</w:t>
      </w:r>
      <w:r w:rsidR="003D2219">
        <w:t xml:space="preserve"> </w:t>
      </w:r>
      <w:r w:rsidR="0091199E">
        <w:t xml:space="preserve">The statute’s </w:t>
      </w:r>
      <w:r w:rsidR="00502687">
        <w:t>introductory</w:t>
      </w:r>
      <w:r w:rsidR="00656483">
        <w:t xml:space="preserve"> section –</w:t>
      </w:r>
      <w:r w:rsidR="0091199E">
        <w:t xml:space="preserve"> </w:t>
      </w:r>
      <w:r w:rsidR="002B1EC3">
        <w:t xml:space="preserve">its </w:t>
      </w:r>
      <w:r w:rsidR="0091199E">
        <w:t>“Findings and Purpose”</w:t>
      </w:r>
      <w:r w:rsidR="00656483">
        <w:t xml:space="preserve"> – includes the following finding: </w:t>
      </w:r>
    </w:p>
    <w:p w14:paraId="1BC555E3" w14:textId="696C1B31" w:rsidR="00EC7676" w:rsidRDefault="0091199E" w:rsidP="00C2028C">
      <w:pPr>
        <w:pStyle w:val="Quote"/>
      </w:pPr>
      <w:r>
        <w:lastRenderedPageBreak/>
        <w:t>i</w:t>
      </w:r>
      <w:r w:rsidRPr="00B1662A">
        <w:t xml:space="preserve">ndividuals with disabilities continually </w:t>
      </w:r>
      <w:r w:rsidRPr="001541BE">
        <w:t>encounter</w:t>
      </w:r>
      <w:r w:rsidRPr="00B1662A">
        <w:t xml:space="preserve"> various forms of discrimination, including outright intentional exclusion, the discriminatory effects of architectural, transportation, and communication barriers, overprotective rules and policies, failure to make modifications to existing facilities and practices, exclusionary qualification standards and criteria, segregation, and relegation to lesser services, programs, activities, benefits, jobs, or other opportunities</w:t>
      </w:r>
      <w:r>
        <w:t>.</w:t>
      </w:r>
      <w:r>
        <w:rPr>
          <w:rStyle w:val="FootnoteReference"/>
        </w:rPr>
        <w:footnoteReference w:id="27"/>
      </w:r>
    </w:p>
    <w:p w14:paraId="49583280" w14:textId="1D604418" w:rsidR="001518DC" w:rsidRDefault="001518DC" w:rsidP="00A35E47">
      <w:pPr>
        <w:pStyle w:val="BodyText"/>
        <w:ind w:firstLine="0"/>
      </w:pPr>
      <w:r>
        <w:t xml:space="preserve">That is, the statute itself is grounded in the finding that “forms of discrimination” </w:t>
      </w:r>
      <w:r w:rsidR="00D148FC">
        <w:t xml:space="preserve">on the basis of disability </w:t>
      </w:r>
      <w:r>
        <w:t xml:space="preserve">include more than “outright intentional </w:t>
      </w:r>
      <w:r w:rsidR="00077501">
        <w:t>exclusion</w:t>
      </w:r>
      <w:r>
        <w:t xml:space="preserve">” but </w:t>
      </w:r>
      <w:r w:rsidR="006043FD">
        <w:t xml:space="preserve">also </w:t>
      </w:r>
      <w:r>
        <w:t>a list of potentially unintentional forms of discrimination.</w:t>
      </w:r>
    </w:p>
    <w:p w14:paraId="65643384" w14:textId="3994FB8C" w:rsidR="00847984" w:rsidRDefault="008B1923" w:rsidP="00BE71BB">
      <w:pPr>
        <w:pStyle w:val="Heading3"/>
      </w:pPr>
      <w:r>
        <w:t xml:space="preserve">Relevant </w:t>
      </w:r>
      <w:r w:rsidR="006301E0">
        <w:t>Substantive Provisions</w:t>
      </w:r>
      <w:r w:rsidR="0067667C">
        <w:t>.</w:t>
      </w:r>
      <w:r w:rsidR="006301E0">
        <w:t xml:space="preserve"> </w:t>
      </w:r>
    </w:p>
    <w:p w14:paraId="57FAC8AB" w14:textId="3995F802" w:rsidR="00E23CDC" w:rsidRDefault="00E74594" w:rsidP="00C2028C">
      <w:pPr>
        <w:pStyle w:val="BodyText"/>
      </w:pPr>
      <w:r>
        <w:t xml:space="preserve">Following this introductory language and </w:t>
      </w:r>
      <w:r w:rsidR="000139F2">
        <w:t>several definition provisions, t</w:t>
      </w:r>
      <w:r w:rsidR="007F64A1">
        <w:t>he statute</w:t>
      </w:r>
      <w:r w:rsidR="000139F2">
        <w:t xml:space="preserve"> has</w:t>
      </w:r>
      <w:r w:rsidR="007F64A1">
        <w:t xml:space="preserve"> </w:t>
      </w:r>
      <w:r w:rsidR="006E4E2F">
        <w:t>four</w:t>
      </w:r>
      <w:r w:rsidR="007F64A1">
        <w:t xml:space="preserve"> sections</w:t>
      </w:r>
      <w:r w:rsidR="00F265D9">
        <w:t xml:space="preserve">: </w:t>
      </w:r>
      <w:r w:rsidR="007F64A1">
        <w:t xml:space="preserve">Title I </w:t>
      </w:r>
      <w:r w:rsidR="007F64A1" w:rsidRPr="00201E9C">
        <w:t>governing</w:t>
      </w:r>
      <w:r w:rsidR="007F64A1">
        <w:t xml:space="preserve"> employment;</w:t>
      </w:r>
      <w:r w:rsidR="008A7376">
        <w:rPr>
          <w:rStyle w:val="FootnoteReference"/>
        </w:rPr>
        <w:footnoteReference w:id="28"/>
      </w:r>
      <w:r w:rsidR="007F64A1">
        <w:t xml:space="preserve"> Title II governing state and local public </w:t>
      </w:r>
      <w:r w:rsidR="00526AB6">
        <w:t>entities</w:t>
      </w:r>
      <w:r w:rsidR="007F64A1">
        <w:t>;</w:t>
      </w:r>
      <w:r w:rsidR="008A7376">
        <w:rPr>
          <w:rStyle w:val="FootnoteReference"/>
        </w:rPr>
        <w:footnoteReference w:id="29"/>
      </w:r>
      <w:r w:rsidR="007F64A1">
        <w:t xml:space="preserve"> Title III governing public accommodations</w:t>
      </w:r>
      <w:r w:rsidR="00560236">
        <w:t>,</w:t>
      </w:r>
      <w:r w:rsidR="008F758D">
        <w:rPr>
          <w:rStyle w:val="FootnoteReference"/>
        </w:rPr>
        <w:footnoteReference w:id="30"/>
      </w:r>
      <w:r w:rsidR="00F265D9">
        <w:t xml:space="preserve"> </w:t>
      </w:r>
      <w:r w:rsidR="00560236">
        <w:t>and Title IV, “Miscellaneous Provisions,” which</w:t>
      </w:r>
      <w:r w:rsidR="005B40B1">
        <w:t xml:space="preserve"> </w:t>
      </w:r>
      <w:r w:rsidR="00526AB6">
        <w:t>applies to</w:t>
      </w:r>
      <w:r w:rsidR="00560236">
        <w:t xml:space="preserve"> the entire statute.</w:t>
      </w:r>
      <w:r w:rsidR="00560236">
        <w:rPr>
          <w:rStyle w:val="FootnoteReference"/>
        </w:rPr>
        <w:footnoteReference w:id="31"/>
      </w:r>
      <w:r w:rsidR="0034215F">
        <w:t xml:space="preserve"> </w:t>
      </w:r>
    </w:p>
    <w:p w14:paraId="0AE80C2E" w14:textId="4F25D1B6" w:rsidR="00E70A55" w:rsidRDefault="00E70A55" w:rsidP="00C2028C">
      <w:pPr>
        <w:pStyle w:val="BodyText"/>
      </w:pPr>
      <w:r>
        <w:t xml:space="preserve">Section 12132 </w:t>
      </w:r>
      <w:r w:rsidR="005B5CFD">
        <w:t xml:space="preserve">of Title II </w:t>
      </w:r>
      <w:r w:rsidR="009D41F8">
        <w:t xml:space="preserve">– the provision at issue in </w:t>
      </w:r>
      <w:r w:rsidR="009D41F8" w:rsidRPr="00D461E4">
        <w:rPr>
          <w:i/>
          <w:iCs/>
        </w:rPr>
        <w:t>Reinhart</w:t>
      </w:r>
      <w:r w:rsidR="009D41F8">
        <w:t xml:space="preserve"> and </w:t>
      </w:r>
      <w:r w:rsidR="009D41F8" w:rsidRPr="00D461E4">
        <w:rPr>
          <w:i/>
          <w:iCs/>
        </w:rPr>
        <w:t>Booth</w:t>
      </w:r>
      <w:r w:rsidR="009D41F8">
        <w:t xml:space="preserve"> </w:t>
      </w:r>
      <w:r w:rsidR="00D461E4">
        <w:t xml:space="preserve">– </w:t>
      </w:r>
      <w:r>
        <w:t>sets forth the prohibition on disability discrimination by state and local public entities:</w:t>
      </w:r>
    </w:p>
    <w:p w14:paraId="2EBE67E3" w14:textId="6C4EE243" w:rsidR="00E70A55" w:rsidRDefault="00A94CC5" w:rsidP="00C2028C">
      <w:pPr>
        <w:pStyle w:val="Quote"/>
      </w:pPr>
      <w:r w:rsidRPr="00A94CC5">
        <w:t>Subject to the provisions of this subchapter, no qualified individual with a disability shall, by reason of such disability, be excluded from participation in or be denied the benefits of the services, programs, or activities of a public entity, or be subjected to discrimination by any such entity.</w:t>
      </w:r>
      <w:r w:rsidR="00A413E8">
        <w:rPr>
          <w:rStyle w:val="FootnoteReference"/>
        </w:rPr>
        <w:footnoteReference w:id="32"/>
      </w:r>
    </w:p>
    <w:p w14:paraId="41AFB483" w14:textId="51DFD848" w:rsidR="007F39F4" w:rsidRDefault="005332E9" w:rsidP="008248D6">
      <w:pPr>
        <w:pStyle w:val="BodyText"/>
        <w:ind w:firstLine="0"/>
      </w:pPr>
      <w:r w:rsidRPr="005332E9">
        <w:lastRenderedPageBreak/>
        <w:t xml:space="preserve">Although Section </w:t>
      </w:r>
      <w:r w:rsidR="00A76D86">
        <w:t>12132</w:t>
      </w:r>
      <w:r w:rsidR="00A76D86" w:rsidRPr="00811663">
        <w:t xml:space="preserve"> </w:t>
      </w:r>
      <w:r w:rsidRPr="005332E9">
        <w:t xml:space="preserve">itself does not list the </w:t>
      </w:r>
      <w:r w:rsidR="006D76B2">
        <w:t>activities that will be considered prohibited discrimination,</w:t>
      </w:r>
      <w:r w:rsidRPr="005332E9">
        <w:t xml:space="preserve"> </w:t>
      </w:r>
      <w:r w:rsidR="004C3262">
        <w:t>S</w:t>
      </w:r>
      <w:r w:rsidRPr="005332E9">
        <w:t xml:space="preserve">ections </w:t>
      </w:r>
      <w:r w:rsidR="00A76D86">
        <w:t>12134</w:t>
      </w:r>
      <w:r w:rsidRPr="005332E9">
        <w:t xml:space="preserve">, </w:t>
      </w:r>
      <w:r w:rsidR="00A76D86">
        <w:t>12201</w:t>
      </w:r>
      <w:r w:rsidRPr="005332E9">
        <w:t xml:space="preserve">, and </w:t>
      </w:r>
      <w:r w:rsidR="00A76D86">
        <w:t>12204</w:t>
      </w:r>
      <w:r w:rsidRPr="005332E9">
        <w:t xml:space="preserve"> of the </w:t>
      </w:r>
      <w:r w:rsidR="00E26C3F">
        <w:t>statute</w:t>
      </w:r>
      <w:r w:rsidRPr="005332E9">
        <w:t xml:space="preserve"> explicitly incorporate detailed </w:t>
      </w:r>
      <w:r w:rsidR="008455AC">
        <w:t xml:space="preserve">regulations and </w:t>
      </w:r>
      <w:r w:rsidRPr="005332E9">
        <w:t xml:space="preserve">standards that define the actions, inactions, and physical and communications barriers </w:t>
      </w:r>
      <w:r w:rsidR="00970934">
        <w:t xml:space="preserve">that constitute </w:t>
      </w:r>
      <w:r w:rsidRPr="005332E9">
        <w:t xml:space="preserve">prohibited </w:t>
      </w:r>
      <w:r w:rsidR="00970934">
        <w:t xml:space="preserve">discrimination under </w:t>
      </w:r>
      <w:r w:rsidRPr="005332E9">
        <w:t xml:space="preserve">Section </w:t>
      </w:r>
      <w:r w:rsidR="000412E5">
        <w:t>12132</w:t>
      </w:r>
      <w:r w:rsidRPr="005332E9">
        <w:t xml:space="preserve">. </w:t>
      </w:r>
    </w:p>
    <w:p w14:paraId="0A3A875F" w14:textId="0695DA2A" w:rsidR="008B3DE2" w:rsidRPr="005332E9" w:rsidRDefault="00FD238D" w:rsidP="00C2028C">
      <w:pPr>
        <w:pStyle w:val="BodyText"/>
      </w:pPr>
      <w:r>
        <w:t>Perhaps most important and dispositiv</w:t>
      </w:r>
      <w:r w:rsidR="00936FCD">
        <w:t xml:space="preserve">e, </w:t>
      </w:r>
      <w:r w:rsidR="00A82B4A">
        <w:t>S</w:t>
      </w:r>
      <w:r w:rsidR="008B3DE2" w:rsidRPr="005332E9">
        <w:t xml:space="preserve">ection </w:t>
      </w:r>
      <w:r w:rsidR="008B3DE2">
        <w:t>12201</w:t>
      </w:r>
      <w:r w:rsidR="008B3DE2" w:rsidRPr="005332E9">
        <w:t xml:space="preserve">(a) of the ADA – contained in </w:t>
      </w:r>
      <w:r w:rsidR="00A82B4A">
        <w:t>the</w:t>
      </w:r>
      <w:r w:rsidR="008B3DE2" w:rsidRPr="005332E9">
        <w:t xml:space="preserve"> Miscellaneous Provisions</w:t>
      </w:r>
      <w:r w:rsidR="00A82B4A">
        <w:t xml:space="preserve"> </w:t>
      </w:r>
      <w:r w:rsidR="008B3DE2" w:rsidRPr="005332E9">
        <w:t>applicable to the statute as a whole –</w:t>
      </w:r>
      <w:r w:rsidR="003D2219">
        <w:t xml:space="preserve"> </w:t>
      </w:r>
      <w:r w:rsidR="008B3DE2" w:rsidRPr="005332E9">
        <w:t>is entitled "Construction” and directs that, unless otherwise provided, “nothing in [the ADA] shall be construed to apply a lesser standard than the standards applied under</w:t>
      </w:r>
      <w:r w:rsidR="001956C1">
        <w:t xml:space="preserve"> </w:t>
      </w:r>
      <w:r w:rsidR="001956C1" w:rsidRPr="001956C1">
        <w:t xml:space="preserve">title V of the Rehabilitation Act of 1973 (29 U.S.C. 790 et seq.) </w:t>
      </w:r>
      <w:r w:rsidR="001956C1" w:rsidRPr="00BD78C2">
        <w:rPr>
          <w:b/>
          <w:bCs/>
        </w:rPr>
        <w:t>or the regulations issued by Federal agencies pursuant to such title</w:t>
      </w:r>
      <w:r w:rsidR="001956C1" w:rsidRPr="001956C1">
        <w:t>.</w:t>
      </w:r>
      <w:r w:rsidR="008B3DE2" w:rsidRPr="005332E9">
        <w:t>”</w:t>
      </w:r>
      <w:r w:rsidR="000A069A" w:rsidRPr="000A069A">
        <w:rPr>
          <w:vertAlign w:val="superscript"/>
        </w:rPr>
        <w:t xml:space="preserve"> </w:t>
      </w:r>
      <w:r w:rsidR="000A069A" w:rsidRPr="005332E9">
        <w:rPr>
          <w:vertAlign w:val="superscript"/>
        </w:rPr>
        <w:footnoteReference w:id="33"/>
      </w:r>
      <w:r w:rsidR="008B3DE2" w:rsidRPr="005332E9">
        <w:t xml:space="preserve"> </w:t>
      </w:r>
      <w:r w:rsidR="00BD78C2">
        <w:t xml:space="preserve">That is, </w:t>
      </w:r>
      <w:r w:rsidR="0008292E">
        <w:t xml:space="preserve">Congress instructs – in statutory text – that </w:t>
      </w:r>
      <w:r w:rsidR="00BD78C2">
        <w:t xml:space="preserve">the ADA </w:t>
      </w:r>
      <w:r w:rsidR="000A069A">
        <w:t>must be interpreted to address all the forms of discrimination</w:t>
      </w:r>
      <w:r w:rsidR="00C65D53">
        <w:t xml:space="preserve"> addressed</w:t>
      </w:r>
      <w:r w:rsidR="000A069A">
        <w:t xml:space="preserve"> in </w:t>
      </w:r>
      <w:r w:rsidR="008B3DE2" w:rsidRPr="005332E9">
        <w:t xml:space="preserve">Section 504 </w:t>
      </w:r>
      <w:r w:rsidR="008B3DE2" w:rsidRPr="00936FCD">
        <w:rPr>
          <w:b/>
          <w:bCs/>
        </w:rPr>
        <w:t>and all of its implementing regulations</w:t>
      </w:r>
      <w:r w:rsidR="008B3DE2" w:rsidRPr="005332E9">
        <w:t xml:space="preserve">. </w:t>
      </w:r>
    </w:p>
    <w:p w14:paraId="7275193D" w14:textId="4F89DB9C" w:rsidR="001C0BE8" w:rsidRDefault="00E17F73" w:rsidP="00C2028C">
      <w:pPr>
        <w:pStyle w:val="BodyText"/>
      </w:pPr>
      <w:r>
        <w:t xml:space="preserve">This required construction </w:t>
      </w:r>
      <w:r w:rsidR="00CC0681">
        <w:t xml:space="preserve">finds further support in </w:t>
      </w:r>
      <w:r w:rsidR="005332E9" w:rsidRPr="005332E9">
        <w:t xml:space="preserve">Section </w:t>
      </w:r>
      <w:r w:rsidR="00A76D86">
        <w:t>12</w:t>
      </w:r>
      <w:r w:rsidR="00B400D0">
        <w:t>134</w:t>
      </w:r>
      <w:r w:rsidR="005332E9" w:rsidRPr="005332E9">
        <w:t>(a)</w:t>
      </w:r>
      <w:r>
        <w:t xml:space="preserve"> </w:t>
      </w:r>
      <w:r w:rsidR="00582D46">
        <w:t>of</w:t>
      </w:r>
      <w:r>
        <w:t xml:space="preserve"> Title II </w:t>
      </w:r>
      <w:r w:rsidR="00CC0681">
        <w:t xml:space="preserve">which </w:t>
      </w:r>
      <w:r w:rsidR="005332E9" w:rsidRPr="005332E9">
        <w:t>direct</w:t>
      </w:r>
      <w:r w:rsidR="005D4E73">
        <w:t>s</w:t>
      </w:r>
      <w:r w:rsidR="005332E9" w:rsidRPr="005332E9">
        <w:t xml:space="preserve"> the </w:t>
      </w:r>
      <w:r w:rsidR="00BB5E15">
        <w:t xml:space="preserve">DOJ </w:t>
      </w:r>
      <w:r w:rsidR="005332E9" w:rsidRPr="005332E9">
        <w:t xml:space="preserve">to issue regulations implementing Section </w:t>
      </w:r>
      <w:r w:rsidR="00B400D0">
        <w:t>12132</w:t>
      </w:r>
      <w:r w:rsidR="005D4E73">
        <w:t xml:space="preserve">, and Section 12134(b), which directs that these regulations be </w:t>
      </w:r>
      <w:r w:rsidR="005332E9" w:rsidRPr="005332E9">
        <w:t xml:space="preserve">consistent with two </w:t>
      </w:r>
      <w:r w:rsidR="00997E94">
        <w:t xml:space="preserve">specific, </w:t>
      </w:r>
      <w:r w:rsidR="005332E9" w:rsidRPr="005332E9">
        <w:t>existing sets of regulations implementing Section 504</w:t>
      </w:r>
      <w:r w:rsidR="00923480">
        <w:t xml:space="preserve">: </w:t>
      </w:r>
    </w:p>
    <w:p w14:paraId="6AC1F12C" w14:textId="42B1A074" w:rsidR="001C0BE8" w:rsidRDefault="00DC29D9" w:rsidP="00C2028C">
      <w:pPr>
        <w:pStyle w:val="Quote"/>
      </w:pPr>
      <w:r w:rsidRPr="00DC29D9">
        <w:t xml:space="preserve">Except for “program accessibility, </w:t>
      </w:r>
      <w:r w:rsidRPr="00ED630B">
        <w:t>existing</w:t>
      </w:r>
      <w:r w:rsidRPr="00DC29D9">
        <w:t xml:space="preserve"> facilities”, and “communications”, regulations under subsection </w:t>
      </w:r>
      <w:r>
        <w:t>[12134]</w:t>
      </w:r>
      <w:r w:rsidRPr="00DC29D9">
        <w:t xml:space="preserve">(a) shall be consistent with this chapter and with </w:t>
      </w:r>
      <w:r w:rsidR="009B6E8A">
        <w:t>the [HEW Coordination Regulations]</w:t>
      </w:r>
      <w:r w:rsidRPr="00DC29D9">
        <w:t xml:space="preserve">. With respect to “program accessibility, existing facilities”, and “communications”, such regulations shall be consistent with regulations and analysis as in </w:t>
      </w:r>
      <w:r w:rsidR="00443E4E">
        <w:t xml:space="preserve">[the DOJ Section 504 </w:t>
      </w:r>
      <w:r w:rsidR="001F535E">
        <w:t>agency regulations].</w:t>
      </w:r>
      <w:r w:rsidR="008F47A1">
        <w:rPr>
          <w:rStyle w:val="FootnoteReference"/>
        </w:rPr>
        <w:footnoteReference w:id="34"/>
      </w:r>
      <w:r w:rsidR="001F535E">
        <w:t xml:space="preserve"> </w:t>
      </w:r>
    </w:p>
    <w:p w14:paraId="4A7D641E" w14:textId="77777777" w:rsidR="00292308" w:rsidRDefault="007E023E" w:rsidP="00292308">
      <w:pPr>
        <w:pStyle w:val="BodyText"/>
        <w:ind w:firstLine="0"/>
      </w:pPr>
      <w:r>
        <w:lastRenderedPageBreak/>
        <w:t>That is, the statutory language</w:t>
      </w:r>
      <w:r w:rsidR="00D8254F">
        <w:t xml:space="preserve"> explicitly</w:t>
      </w:r>
      <w:r>
        <w:t xml:space="preserve"> incorporates </w:t>
      </w:r>
      <w:r w:rsidR="00CD11BF">
        <w:t xml:space="preserve">the DOJ Section 504 regulations with respect to communications and </w:t>
      </w:r>
      <w:r w:rsidR="00D8254F">
        <w:t xml:space="preserve">physical access and the HEW Coordination Regulation for the rest. </w:t>
      </w:r>
    </w:p>
    <w:p w14:paraId="1BA42005" w14:textId="6196097B" w:rsidR="005332E9" w:rsidRPr="005332E9" w:rsidRDefault="005332E9" w:rsidP="00292308">
      <w:pPr>
        <w:pStyle w:val="BodyText"/>
      </w:pPr>
      <w:r w:rsidRPr="005332E9">
        <w:t xml:space="preserve">Section </w:t>
      </w:r>
      <w:r w:rsidR="00B400D0">
        <w:t>12134</w:t>
      </w:r>
      <w:r w:rsidRPr="005332E9">
        <w:t xml:space="preserve">(c) </w:t>
      </w:r>
      <w:r w:rsidR="001F535E">
        <w:t xml:space="preserve">further </w:t>
      </w:r>
      <w:r w:rsidRPr="005332E9">
        <w:t xml:space="preserve">instructs that </w:t>
      </w:r>
      <w:r w:rsidR="00292308">
        <w:t xml:space="preserve">the Title II </w:t>
      </w:r>
      <w:r w:rsidRPr="005332E9">
        <w:t>regulations</w:t>
      </w:r>
      <w:r w:rsidR="00BF2B21">
        <w:t xml:space="preserve"> are to</w:t>
      </w:r>
      <w:r w:rsidRPr="005332E9">
        <w:t xml:space="preserve"> “include standards applicable to facilities and vehicles covered by this part</w:t>
      </w:r>
      <w:r w:rsidR="00F35911">
        <w:t xml:space="preserve"> [including 12132</w:t>
      </w:r>
      <w:r w:rsidR="00581519">
        <w:t>]</w:t>
      </w:r>
      <w:r w:rsidRPr="005332E9">
        <w:t xml:space="preserve"> [that are] consistent with” guidelines the statute requires to be issued by the Access Board</w:t>
      </w:r>
      <w:r w:rsidR="008E335D">
        <w:t xml:space="preserve"> pursuant to Section 12204(a)</w:t>
      </w:r>
      <w:r w:rsidRPr="005332E9">
        <w:t>.</w:t>
      </w:r>
      <w:r w:rsidR="00C659F6">
        <w:rPr>
          <w:rStyle w:val="FootnoteReference"/>
        </w:rPr>
        <w:footnoteReference w:id="35"/>
      </w:r>
      <w:r w:rsidRPr="005332E9">
        <w:t xml:space="preserve"> </w:t>
      </w:r>
    </w:p>
    <w:p w14:paraId="3E4B74AF" w14:textId="611F9346" w:rsidR="005332E9" w:rsidRDefault="009C691C" w:rsidP="00C2028C">
      <w:pPr>
        <w:pStyle w:val="BodyText"/>
      </w:pPr>
      <w:r>
        <w:t xml:space="preserve">Finally, </w:t>
      </w:r>
      <w:r w:rsidR="005332E9" w:rsidRPr="005332E9">
        <w:t xml:space="preserve">Section </w:t>
      </w:r>
      <w:r w:rsidR="006311C3">
        <w:t>12204</w:t>
      </w:r>
      <w:r w:rsidR="005332E9" w:rsidRPr="005332E9">
        <w:t xml:space="preserve">(a) of the ADA instructs the Access Board to “issue minimum guidelines that shall supplement the existing </w:t>
      </w:r>
      <w:r w:rsidR="003973FD">
        <w:t>[MGRAD]</w:t>
      </w:r>
      <w:r w:rsidR="005332E9" w:rsidRPr="005332E9">
        <w:t xml:space="preserve"> for purposes of” Titles II and III of the ADA.</w:t>
      </w:r>
      <w:r w:rsidR="005332E9" w:rsidRPr="005332E9">
        <w:rPr>
          <w:vertAlign w:val="superscript"/>
        </w:rPr>
        <w:footnoteReference w:id="36"/>
      </w:r>
      <w:r w:rsidR="005332E9" w:rsidRPr="005332E9">
        <w:t xml:space="preserve"> These guidelines are to “establish additional requirements, consistent with this chapter, to ensure that buildings, facilities, rail passenger cars, and vehicles are accessible, in terms of architecture and design, transportation, and communication, to individuals with disabilities.”</w:t>
      </w:r>
      <w:r w:rsidR="005332E9" w:rsidRPr="005332E9">
        <w:rPr>
          <w:vertAlign w:val="superscript"/>
        </w:rPr>
        <w:footnoteReference w:id="37"/>
      </w:r>
    </w:p>
    <w:p w14:paraId="008CB1EE" w14:textId="056A68A7" w:rsidR="008B1923" w:rsidRDefault="008B1923" w:rsidP="00BE71BB">
      <w:pPr>
        <w:pStyle w:val="Heading3"/>
      </w:pPr>
      <w:r>
        <w:t>Remedies</w:t>
      </w:r>
      <w:r w:rsidR="0067667C">
        <w:t>.</w:t>
      </w:r>
      <w:r>
        <w:t xml:space="preserve"> </w:t>
      </w:r>
    </w:p>
    <w:p w14:paraId="2320A3EE" w14:textId="66EB51AF" w:rsidR="00847984" w:rsidRPr="00811663" w:rsidRDefault="00847984" w:rsidP="00C2028C">
      <w:pPr>
        <w:pStyle w:val="BodyText"/>
      </w:pPr>
      <w:r w:rsidRPr="00811663">
        <w:t xml:space="preserve">The remedies provision of Title II incorporates by reference the remedies provision applicable to </w:t>
      </w:r>
      <w:r w:rsidR="00774488">
        <w:t>Section 504</w:t>
      </w:r>
      <w:r w:rsidRPr="00811663">
        <w:t>, which in turn incorporates by reference the remedies of Title VI of the Civil Rights Act of 1964</w:t>
      </w:r>
      <w:r w:rsidR="00AA4D9F">
        <w:t xml:space="preserve"> (</w:t>
      </w:r>
      <w:r w:rsidR="003D1E99">
        <w:t>“</w:t>
      </w:r>
      <w:r w:rsidR="00446888">
        <w:t>Title VI</w:t>
      </w:r>
      <w:r w:rsidR="003D1E99">
        <w:t>”</w:t>
      </w:r>
      <w:r w:rsidR="00AA4D9F">
        <w:t>)</w:t>
      </w:r>
      <w:r w:rsidRPr="00811663">
        <w:t xml:space="preserve">. </w:t>
      </w:r>
    </w:p>
    <w:p w14:paraId="363D9FBA" w14:textId="4A5CE3EC" w:rsidR="00847984" w:rsidRPr="00811663" w:rsidRDefault="00847984" w:rsidP="00C2028C">
      <w:pPr>
        <w:pStyle w:val="BodyText"/>
      </w:pPr>
      <w:r w:rsidRPr="00811663">
        <w:t xml:space="preserve">Title II’s remedies provision, set forth in Section </w:t>
      </w:r>
      <w:r w:rsidR="00774488">
        <w:t>12133</w:t>
      </w:r>
      <w:r w:rsidRPr="00811663">
        <w:t>, reads:</w:t>
      </w:r>
    </w:p>
    <w:p w14:paraId="75257A3C" w14:textId="7EAB857B" w:rsidR="00847984" w:rsidRPr="00811663" w:rsidRDefault="00847984" w:rsidP="00C2028C">
      <w:pPr>
        <w:pStyle w:val="Quote"/>
      </w:pPr>
      <w:r w:rsidRPr="00811663">
        <w:t xml:space="preserve">The remedies, procedures, and rights set forth in section 794a of Title 29 shall be the remedies, procedures, and rights this subchapter provides to </w:t>
      </w:r>
      <w:r w:rsidRPr="00811663">
        <w:lastRenderedPageBreak/>
        <w:t xml:space="preserve">any person alleging discrimination on the basis of disability in violation of section </w:t>
      </w:r>
      <w:r w:rsidR="00774488">
        <w:t>12132</w:t>
      </w:r>
      <w:r w:rsidRPr="00811663">
        <w:t xml:space="preserve"> of this title.</w:t>
      </w:r>
      <w:r w:rsidRPr="00811663">
        <w:rPr>
          <w:vertAlign w:val="superscript"/>
        </w:rPr>
        <w:footnoteReference w:id="38"/>
      </w:r>
    </w:p>
    <w:p w14:paraId="39CF3D91" w14:textId="63C9CE94" w:rsidR="00847984" w:rsidRPr="00811663" w:rsidRDefault="00847984" w:rsidP="00E52E35">
      <w:pPr>
        <w:pStyle w:val="BodyText"/>
      </w:pPr>
      <w:r w:rsidRPr="00E52E35">
        <w:t>Section</w:t>
      </w:r>
      <w:r w:rsidRPr="00811663">
        <w:t xml:space="preserve"> 794a of Title 29 is Section 505 of the Rehabilitation Act and, as the numerical sequence suggests, is separate from but immediately </w:t>
      </w:r>
      <w:r w:rsidR="00E97175">
        <w:t>follows</w:t>
      </w:r>
      <w:r w:rsidRPr="00811663">
        <w:t xml:space="preserve"> Section 504. Section 505</w:t>
      </w:r>
      <w:r w:rsidR="00140F43">
        <w:t>(a)(2)</w:t>
      </w:r>
      <w:r w:rsidRPr="00811663">
        <w:t xml:space="preserve"> reads:</w:t>
      </w:r>
    </w:p>
    <w:p w14:paraId="5E79C18F" w14:textId="66C8D5A2" w:rsidR="00847984" w:rsidRPr="00811663" w:rsidRDefault="00847984" w:rsidP="00C2028C">
      <w:pPr>
        <w:pStyle w:val="Quote"/>
      </w:pPr>
      <w:r w:rsidRPr="00811663">
        <w:t xml:space="preserve">The remedies, procedures, and rights set forth in title VI of the Civil Rights Act of 1964 (42 U.S.C. 2000d </w:t>
      </w:r>
      <w:r w:rsidRPr="00DD0920">
        <w:rPr>
          <w:i/>
          <w:iCs/>
        </w:rPr>
        <w:t>et seq</w:t>
      </w:r>
      <w:r w:rsidRPr="00811663">
        <w:t>.) . . . shall be available to any person aggrieved by any act or failure to act by any recipient of Federal assistance or Federal provider of such assistance under [Section 504].</w:t>
      </w:r>
      <w:r w:rsidR="00727F90">
        <w:rPr>
          <w:rStyle w:val="FootnoteReference"/>
        </w:rPr>
        <w:footnoteReference w:id="39"/>
      </w:r>
      <w:r w:rsidRPr="00811663">
        <w:t xml:space="preserve"> </w:t>
      </w:r>
    </w:p>
    <w:p w14:paraId="502E813B" w14:textId="6CA98BCD" w:rsidR="00847984" w:rsidRDefault="00847984" w:rsidP="00C2028C">
      <w:pPr>
        <w:pStyle w:val="BodyText"/>
      </w:pPr>
      <w:r w:rsidRPr="00811663">
        <w:t>Title VI</w:t>
      </w:r>
      <w:r w:rsidR="00C415B4">
        <w:t xml:space="preserve">, which prohibits discrimination based on race, </w:t>
      </w:r>
      <w:r w:rsidR="00324DA8" w:rsidRPr="00324DA8">
        <w:t>color, or national origin</w:t>
      </w:r>
      <w:r w:rsidRPr="00811663">
        <w:t xml:space="preserve"> </w:t>
      </w:r>
      <w:r w:rsidR="00324DA8">
        <w:t>by recipients of federal funding,</w:t>
      </w:r>
      <w:r w:rsidR="00C465BB">
        <w:rPr>
          <w:rStyle w:val="FootnoteReference"/>
        </w:rPr>
        <w:footnoteReference w:id="40"/>
      </w:r>
      <w:r w:rsidR="00324DA8">
        <w:t xml:space="preserve"> </w:t>
      </w:r>
      <w:r w:rsidRPr="00811663">
        <w:t xml:space="preserve">does not have specific enforcement or remedies language but, in 1979, the Supreme Court recognized an inferred private right of action to enforce </w:t>
      </w:r>
      <w:r>
        <w:t>that statute</w:t>
      </w:r>
      <w:r w:rsidRPr="00811663">
        <w:t>.</w:t>
      </w:r>
      <w:r w:rsidRPr="00811663">
        <w:rPr>
          <w:vertAlign w:val="superscript"/>
        </w:rPr>
        <w:footnoteReference w:id="41"/>
      </w:r>
      <w:r w:rsidRPr="00811663">
        <w:t xml:space="preserve"> Given that Section 505 incorporates by reference Title VI’s remedies, and 12133 incorporates Section 505’s, it is not surprising that the </w:t>
      </w:r>
      <w:r w:rsidR="00285548">
        <w:t xml:space="preserve">Supreme </w:t>
      </w:r>
      <w:r w:rsidRPr="00811663">
        <w:t>Court has consistently recognized a private right of action to enforce both Section 12132 and Section 504.</w:t>
      </w:r>
      <w:r w:rsidRPr="00811663">
        <w:rPr>
          <w:vertAlign w:val="superscript"/>
        </w:rPr>
        <w:footnoteReference w:id="42"/>
      </w:r>
      <w:r w:rsidRPr="00811663">
        <w:t xml:space="preserve"> </w:t>
      </w:r>
    </w:p>
    <w:p w14:paraId="7AE8FDAC" w14:textId="38D56743" w:rsidR="00DF3E84" w:rsidRPr="00D52E3E" w:rsidRDefault="00DF3E84" w:rsidP="00FA4B31">
      <w:pPr>
        <w:pStyle w:val="Heading1"/>
      </w:pPr>
      <w:bookmarkStart w:id="2" w:name="_The_Incorporation_of"/>
      <w:bookmarkEnd w:id="2"/>
      <w:r w:rsidRPr="00D52E3E">
        <w:t xml:space="preserve">The Incorporation of Section 504 Regulations Into the ADA Gives Them the Status of Law. </w:t>
      </w:r>
    </w:p>
    <w:p w14:paraId="6942EF70" w14:textId="6CF9117C" w:rsidR="0042031D" w:rsidRPr="005332E9" w:rsidRDefault="0042031D" w:rsidP="00FA4B31">
      <w:pPr>
        <w:pStyle w:val="Heading2"/>
        <w:numPr>
          <w:ilvl w:val="0"/>
          <w:numId w:val="18"/>
        </w:numPr>
      </w:pPr>
      <w:r>
        <w:t>Regulations</w:t>
      </w:r>
      <w:r w:rsidR="0067667C">
        <w:t>.</w:t>
      </w:r>
    </w:p>
    <w:p w14:paraId="47E88A22" w14:textId="2871BE90" w:rsidR="0042031D" w:rsidRPr="00811663" w:rsidRDefault="0042031D" w:rsidP="00C2028C">
      <w:pPr>
        <w:pStyle w:val="BodyText"/>
      </w:pPr>
      <w:r>
        <w:t>T</w:t>
      </w:r>
      <w:r w:rsidRPr="00811663">
        <w:t xml:space="preserve">he regulations </w:t>
      </w:r>
      <w:r>
        <w:t xml:space="preserve">and standards incorporated by reference into Section 12132 </w:t>
      </w:r>
      <w:r w:rsidRPr="00811663">
        <w:t xml:space="preserve">include a number that prohibit </w:t>
      </w:r>
      <w:r w:rsidR="007B7C8B">
        <w:t xml:space="preserve">unintentional </w:t>
      </w:r>
      <w:r w:rsidRPr="00811663">
        <w:t xml:space="preserve">discrimination, including provisions: </w:t>
      </w:r>
    </w:p>
    <w:p w14:paraId="3F080A27" w14:textId="77777777" w:rsidR="0042031D" w:rsidRPr="00811663" w:rsidRDefault="0042031D" w:rsidP="0042031D">
      <w:pPr>
        <w:numPr>
          <w:ilvl w:val="0"/>
          <w:numId w:val="3"/>
        </w:numPr>
        <w:spacing w:line="240" w:lineRule="auto"/>
      </w:pPr>
      <w:r w:rsidRPr="00811663">
        <w:lastRenderedPageBreak/>
        <w:t>Prohibiting the use of criteria or methods of administration that have a discriminatory effect;</w:t>
      </w:r>
      <w:r w:rsidRPr="00811663">
        <w:rPr>
          <w:vertAlign w:val="superscript"/>
        </w:rPr>
        <w:footnoteReference w:id="43"/>
      </w:r>
      <w:r w:rsidRPr="00811663">
        <w:t xml:space="preserve"> </w:t>
      </w:r>
    </w:p>
    <w:p w14:paraId="327A3ECE" w14:textId="77777777" w:rsidR="0042031D" w:rsidRPr="00811663" w:rsidRDefault="0042031D" w:rsidP="0042031D">
      <w:pPr>
        <w:numPr>
          <w:ilvl w:val="0"/>
          <w:numId w:val="3"/>
        </w:numPr>
        <w:spacing w:line="240" w:lineRule="auto"/>
      </w:pPr>
      <w:r w:rsidRPr="00811663">
        <w:t>Requiring that programs and activities be administered in “the most integrated setting appropriate;”</w:t>
      </w:r>
      <w:r w:rsidRPr="00811663">
        <w:rPr>
          <w:vertAlign w:val="superscript"/>
        </w:rPr>
        <w:footnoteReference w:id="44"/>
      </w:r>
      <w:r w:rsidRPr="00811663">
        <w:t xml:space="preserve"> </w:t>
      </w:r>
    </w:p>
    <w:p w14:paraId="16C82700" w14:textId="01DF41DE" w:rsidR="0042031D" w:rsidRPr="00811663" w:rsidRDefault="0042031D" w:rsidP="0042031D">
      <w:pPr>
        <w:numPr>
          <w:ilvl w:val="0"/>
          <w:numId w:val="3"/>
        </w:numPr>
        <w:spacing w:line="240" w:lineRule="auto"/>
      </w:pPr>
      <w:r w:rsidRPr="00811663">
        <w:t>Requiring covered entities to provide auxiliary aids and services necessary to ensure effective communication;</w:t>
      </w:r>
      <w:r w:rsidRPr="00811663">
        <w:rPr>
          <w:vertAlign w:val="superscript"/>
        </w:rPr>
        <w:footnoteReference w:id="45"/>
      </w:r>
      <w:r w:rsidRPr="00811663">
        <w:t xml:space="preserve"> </w:t>
      </w:r>
    </w:p>
    <w:p w14:paraId="178CED64" w14:textId="77777777" w:rsidR="0042031D" w:rsidRPr="00811663" w:rsidRDefault="0042031D" w:rsidP="0042031D">
      <w:pPr>
        <w:numPr>
          <w:ilvl w:val="0"/>
          <w:numId w:val="3"/>
        </w:numPr>
        <w:spacing w:line="240" w:lineRule="auto"/>
      </w:pPr>
      <w:r w:rsidRPr="00811663">
        <w:t>Requiring new construction and alterations to be readily accessible to and useable by disabled people and provid</w:t>
      </w:r>
      <w:r>
        <w:t>ing</w:t>
      </w:r>
      <w:r w:rsidRPr="00811663">
        <w:t xml:space="preserve"> detailed accessibility standards;</w:t>
      </w:r>
      <w:r w:rsidRPr="00811663">
        <w:rPr>
          <w:vertAlign w:val="superscript"/>
        </w:rPr>
        <w:footnoteReference w:id="46"/>
      </w:r>
      <w:r>
        <w:t xml:space="preserve"> </w:t>
      </w:r>
      <w:r w:rsidRPr="00811663">
        <w:t>and</w:t>
      </w:r>
    </w:p>
    <w:p w14:paraId="147BC642" w14:textId="77777777" w:rsidR="0042031D" w:rsidRPr="00811663" w:rsidRDefault="0042031D" w:rsidP="0042031D">
      <w:pPr>
        <w:numPr>
          <w:ilvl w:val="0"/>
          <w:numId w:val="3"/>
        </w:numPr>
        <w:spacing w:line="240" w:lineRule="auto"/>
      </w:pPr>
      <w:r w:rsidRPr="00811663">
        <w:t>With respect to existing facilities, requiring covered entities to operate each program so that, when viewed in its entirety, it is readily accessible to and usable by disabled persons</w:t>
      </w:r>
      <w:r>
        <w:t>.</w:t>
      </w:r>
      <w:r w:rsidRPr="00811663">
        <w:rPr>
          <w:vertAlign w:val="superscript"/>
        </w:rPr>
        <w:footnoteReference w:id="47"/>
      </w:r>
    </w:p>
    <w:p w14:paraId="6B719CE7" w14:textId="20C73751" w:rsidR="0042031D" w:rsidRPr="00811663" w:rsidRDefault="0042031D" w:rsidP="00C2028C">
      <w:pPr>
        <w:pStyle w:val="BodyText"/>
      </w:pPr>
      <w:r w:rsidRPr="00811663">
        <w:t xml:space="preserve">The right to reasonable </w:t>
      </w:r>
      <w:r w:rsidR="00E00CA4">
        <w:t>accommodations</w:t>
      </w:r>
      <w:r w:rsidR="00E00CA4" w:rsidRPr="00811663">
        <w:t xml:space="preserve"> </w:t>
      </w:r>
      <w:r w:rsidRPr="00811663">
        <w:t xml:space="preserve">in policies, practices, and procedures where necessary to avoid </w:t>
      </w:r>
      <w:r>
        <w:t xml:space="preserve">discrimination </w:t>
      </w:r>
      <w:r w:rsidRPr="00811663">
        <w:t xml:space="preserve">did not appear in the Section 504 regulations but rather was established by the Supreme Court itself in the 1985 case of </w:t>
      </w:r>
      <w:r w:rsidRPr="00811663">
        <w:rPr>
          <w:i/>
          <w:iCs/>
        </w:rPr>
        <w:t>Alexander v. Choate</w:t>
      </w:r>
      <w:r w:rsidRPr="00811663">
        <w:t>.</w:t>
      </w:r>
      <w:r w:rsidRPr="00811663">
        <w:rPr>
          <w:vertAlign w:val="superscript"/>
        </w:rPr>
        <w:footnoteReference w:id="48"/>
      </w:r>
      <w:r w:rsidR="008A4462">
        <w:t xml:space="preserve"> </w:t>
      </w:r>
      <w:r>
        <w:t>It is reflected in the regulations implementing Section 12132 at 28 C.F.R. § 35.130(b)(7)(</w:t>
      </w:r>
      <w:proofErr w:type="spellStart"/>
      <w:r>
        <w:t>i</w:t>
      </w:r>
      <w:proofErr w:type="spellEnd"/>
      <w:r>
        <w:t xml:space="preserve">). </w:t>
      </w:r>
    </w:p>
    <w:p w14:paraId="009D3C56" w14:textId="289C80E4" w:rsidR="0042031D" w:rsidRDefault="0042031D" w:rsidP="00C2028C">
      <w:pPr>
        <w:pStyle w:val="BodyText"/>
      </w:pPr>
      <w:r>
        <w:t xml:space="preserve">In sum, based on </w:t>
      </w:r>
      <w:r w:rsidR="00CD7223">
        <w:t xml:space="preserve">explicit </w:t>
      </w:r>
      <w:r w:rsidR="00EF01BA">
        <w:t xml:space="preserve">rules of </w:t>
      </w:r>
      <w:r w:rsidR="00CD7223">
        <w:t xml:space="preserve">construction and </w:t>
      </w:r>
      <w:r>
        <w:t>incorporated regulations, Section 12132 of the ADA prohibits these and other forms of discrimination</w:t>
      </w:r>
      <w:r w:rsidR="002D387B">
        <w:t>, intentional and unintentional</w:t>
      </w:r>
      <w:r>
        <w:t>. And, as discussed in greater detail below, be</w:t>
      </w:r>
      <w:r w:rsidRPr="00811663">
        <w:t xml:space="preserve">cause </w:t>
      </w:r>
      <w:r>
        <w:t xml:space="preserve">this establishes that </w:t>
      </w:r>
      <w:r>
        <w:lastRenderedPageBreak/>
        <w:t>the DOJ Title II</w:t>
      </w:r>
      <w:r w:rsidRPr="00811663">
        <w:t xml:space="preserve"> regulations</w:t>
      </w:r>
      <w:r>
        <w:t xml:space="preserve"> forbid</w:t>
      </w:r>
      <w:r w:rsidRPr="00811663">
        <w:t xml:space="preserve"> only </w:t>
      </w:r>
      <w:r>
        <w:t xml:space="preserve">conduct that </w:t>
      </w:r>
      <w:r w:rsidRPr="00811663">
        <w:t>the statute</w:t>
      </w:r>
      <w:r>
        <w:t xml:space="preserve"> also forbids</w:t>
      </w:r>
      <w:r w:rsidRPr="00811663">
        <w:t>, they may be enforced through a private right of action.</w:t>
      </w:r>
      <w:r w:rsidRPr="00454A89">
        <w:rPr>
          <w:vertAlign w:val="superscript"/>
        </w:rPr>
        <w:footnoteReference w:id="49"/>
      </w:r>
      <w:r>
        <w:t xml:space="preserve"> </w:t>
      </w:r>
    </w:p>
    <w:p w14:paraId="5758A32C" w14:textId="18A3BF91" w:rsidR="00DF3E84" w:rsidRPr="00D52E3E" w:rsidRDefault="00DF3E84" w:rsidP="00FA4B31">
      <w:pPr>
        <w:pStyle w:val="Heading2"/>
      </w:pPr>
      <w:r w:rsidRPr="00D52E3E">
        <w:t>Incorporation</w:t>
      </w:r>
      <w:r w:rsidR="0067667C">
        <w:t>.</w:t>
      </w:r>
      <w:r w:rsidRPr="00D52E3E">
        <w:t xml:space="preserve"> </w:t>
      </w:r>
    </w:p>
    <w:p w14:paraId="7E78BA34" w14:textId="21575FD4" w:rsidR="00DF3E84" w:rsidRPr="00E34836" w:rsidRDefault="00DF3E84" w:rsidP="00C2028C">
      <w:pPr>
        <w:pStyle w:val="BodyText"/>
      </w:pPr>
      <w:r w:rsidRPr="00E34836">
        <w:t xml:space="preserve">Even before the ADA </w:t>
      </w:r>
      <w:r w:rsidR="0011453D">
        <w:t xml:space="preserve">explicitly </w:t>
      </w:r>
      <w:r w:rsidRPr="00E34836">
        <w:t xml:space="preserve">incorporated the Section 504 regulations, </w:t>
      </w:r>
      <w:r>
        <w:t>the Supreme Court</w:t>
      </w:r>
      <w:r w:rsidRPr="00E34836">
        <w:t xml:space="preserve"> recognized that Section 504 itself incorporated the regulations HEW and later </w:t>
      </w:r>
      <w:r w:rsidR="00A650E5">
        <w:t>the Department of Health and Human Services (“HHS”)</w:t>
      </w:r>
      <w:r w:rsidR="00F46125" w:rsidRPr="00F46125">
        <w:rPr>
          <w:vertAlign w:val="superscript"/>
        </w:rPr>
        <w:t xml:space="preserve"> </w:t>
      </w:r>
      <w:r w:rsidR="00F46125" w:rsidRPr="00E34836">
        <w:rPr>
          <w:vertAlign w:val="superscript"/>
        </w:rPr>
        <w:footnoteReference w:id="50"/>
      </w:r>
      <w:r w:rsidRPr="00E34836">
        <w:t xml:space="preserve"> had promulgated to enforce its requirements.</w:t>
      </w:r>
      <w:r>
        <w:t xml:space="preserve"> </w:t>
      </w:r>
      <w:r w:rsidRPr="00E34836">
        <w:t>In the earliest of these</w:t>
      </w:r>
      <w:r w:rsidR="002301D3">
        <w:t xml:space="preserve"> cases</w:t>
      </w:r>
      <w:r w:rsidRPr="00E34836">
        <w:t xml:space="preserve">, </w:t>
      </w:r>
      <w:r w:rsidRPr="00E34836">
        <w:rPr>
          <w:i/>
          <w:iCs/>
        </w:rPr>
        <w:t>Consolidated Rail Corporation v. Darrone</w:t>
      </w:r>
      <w:r w:rsidRPr="00E34836">
        <w:t>, the Supreme Court stated that, in passing the 1978 amendments to the Rehabilitation Act, “Congress incorporated the substance of [HEW’s] regulations into the statute.”</w:t>
      </w:r>
      <w:r w:rsidRPr="00E34836">
        <w:rPr>
          <w:vertAlign w:val="superscript"/>
        </w:rPr>
        <w:footnoteReference w:id="51"/>
      </w:r>
      <w:r>
        <w:t xml:space="preserve"> </w:t>
      </w:r>
      <w:r w:rsidRPr="00E34836">
        <w:t xml:space="preserve">Three years later, in </w:t>
      </w:r>
      <w:r w:rsidRPr="00E34836">
        <w:rPr>
          <w:i/>
          <w:iCs/>
        </w:rPr>
        <w:t>School Board of Nassau County</w:t>
      </w:r>
      <w:r w:rsidR="00524425">
        <w:rPr>
          <w:i/>
          <w:iCs/>
        </w:rPr>
        <w:t>, Florida</w:t>
      </w:r>
      <w:r w:rsidRPr="00E34836">
        <w:rPr>
          <w:i/>
          <w:iCs/>
        </w:rPr>
        <w:t xml:space="preserve"> v. Arline</w:t>
      </w:r>
      <w:r w:rsidRPr="00E34836">
        <w:t>, the Court stated, “[a]s we have previously recognized, these [</w:t>
      </w:r>
      <w:r w:rsidR="00F46125">
        <w:t>HHS</w:t>
      </w:r>
      <w:r w:rsidRPr="00E34836">
        <w:t xml:space="preserve"> Section 504] regulations were drafted with the oversight and approval of Congress</w:t>
      </w:r>
      <w:r>
        <w:t xml:space="preserve"> </w:t>
      </w:r>
      <w:r w:rsidRPr="00E34836">
        <w:t>. . .</w:t>
      </w:r>
      <w:r>
        <w:t xml:space="preserve"> </w:t>
      </w:r>
      <w:r w:rsidRPr="00E34836">
        <w:t>[and thus] provide ‘an important source of guidance on the meaning of § 504.’”</w:t>
      </w:r>
      <w:r w:rsidRPr="00E34836">
        <w:rPr>
          <w:vertAlign w:val="superscript"/>
        </w:rPr>
        <w:footnoteReference w:id="52"/>
      </w:r>
      <w:r>
        <w:t xml:space="preserve"> </w:t>
      </w:r>
    </w:p>
    <w:p w14:paraId="788C5A51" w14:textId="77777777" w:rsidR="00DF3E84" w:rsidRPr="00811663" w:rsidRDefault="00DF3E84" w:rsidP="00C2028C">
      <w:pPr>
        <w:pStyle w:val="BodyText"/>
      </w:pPr>
      <w:r w:rsidRPr="00811663">
        <w:t>This explicit incorporation of regulatory standards gives those standards the force of law.</w:t>
      </w:r>
      <w:r>
        <w:t xml:space="preserve"> </w:t>
      </w:r>
      <w:r w:rsidRPr="00811663">
        <w:t>Where Congress “substantially incorporate[s] into the statute the [relevant] administrative practice . . . [</w:t>
      </w:r>
      <w:proofErr w:type="spellStart"/>
      <w:r w:rsidRPr="00811663">
        <w:t>i</w:t>
      </w:r>
      <w:proofErr w:type="spellEnd"/>
      <w:r w:rsidRPr="00811663">
        <w:t xml:space="preserve">]t thus became an express congressional definition” of that </w:t>
      </w:r>
      <w:r w:rsidRPr="00811663">
        <w:lastRenderedPageBreak/>
        <w:t>practice.</w:t>
      </w:r>
      <w:r w:rsidRPr="00811663">
        <w:rPr>
          <w:vertAlign w:val="superscript"/>
        </w:rPr>
        <w:footnoteReference w:id="53"/>
      </w:r>
      <w:r w:rsidRPr="00811663">
        <w:t xml:space="preserve"> The Third Circuit applied this principle in the context of the Title II regulations in </w:t>
      </w:r>
      <w:r w:rsidRPr="00811663">
        <w:rPr>
          <w:i/>
          <w:iCs/>
        </w:rPr>
        <w:t>Helen L. v. DiDario</w:t>
      </w:r>
      <w:r w:rsidRPr="00811663">
        <w:t>, holding:</w:t>
      </w:r>
    </w:p>
    <w:p w14:paraId="3B71D853" w14:textId="77777777" w:rsidR="00DF3E84" w:rsidRDefault="00DF3E84" w:rsidP="00DF3E84">
      <w:pPr>
        <w:spacing w:line="240" w:lineRule="auto"/>
        <w:ind w:left="720"/>
      </w:pPr>
      <w:r w:rsidRPr="00811663">
        <w:t>[B]</w:t>
      </w:r>
      <w:proofErr w:type="spellStart"/>
      <w:r w:rsidRPr="00811663">
        <w:t>ecause</w:t>
      </w:r>
      <w:proofErr w:type="spellEnd"/>
      <w:r w:rsidRPr="00811663">
        <w:t xml:space="preserve"> Congress mandated that the ADA regulations be patterned after the section 504 coordination regulations, </w:t>
      </w:r>
      <w:r w:rsidRPr="00811663">
        <w:rPr>
          <w:b/>
          <w:bCs/>
        </w:rPr>
        <w:t xml:space="preserve">the former regulations have the force of law. </w:t>
      </w:r>
      <w:r w:rsidRPr="00811663">
        <w:t>When Congress re-enacts a statute and voices its approval of an administrative interpretation of that statute, that interpretation acquires the force of law and courts are bound by the regulation.</w:t>
      </w:r>
      <w:r w:rsidRPr="00811663">
        <w:rPr>
          <w:vertAlign w:val="superscript"/>
        </w:rPr>
        <w:footnoteReference w:id="54"/>
      </w:r>
    </w:p>
    <w:p w14:paraId="00E6DC6F" w14:textId="4AB3C76E" w:rsidR="002A1DF4" w:rsidRPr="00811663" w:rsidRDefault="00623147" w:rsidP="00E3329C">
      <w:pPr>
        <w:pStyle w:val="BodyText"/>
        <w:ind w:firstLine="0"/>
      </w:pPr>
      <w:r>
        <w:t xml:space="preserve">The </w:t>
      </w:r>
      <w:r w:rsidR="002A1DF4">
        <w:t xml:space="preserve">Tenth and Eleventh Circuits have followed suit, with the latter court holding </w:t>
      </w:r>
      <w:r w:rsidR="00610F52">
        <w:t>that “</w:t>
      </w:r>
      <w:r w:rsidR="002A1DF4" w:rsidRPr="00103EF9">
        <w:t>Congress expressly authorized the Attorney General to make rules with the force of law interpreting and implementing the ADA provisions generally applicable to public services.</w:t>
      </w:r>
      <w:r w:rsidR="00610F52">
        <w:t>”</w:t>
      </w:r>
      <w:r w:rsidR="002A1DF4">
        <w:rPr>
          <w:rStyle w:val="FootnoteReference"/>
        </w:rPr>
        <w:footnoteReference w:id="55"/>
      </w:r>
    </w:p>
    <w:p w14:paraId="1984CE95" w14:textId="77777777" w:rsidR="00DF3E84" w:rsidRPr="00F10773" w:rsidRDefault="00DF3E84" w:rsidP="00FA4B31">
      <w:pPr>
        <w:pStyle w:val="Heading2"/>
      </w:pPr>
      <w:r w:rsidRPr="00F10773">
        <w:t>Legislation and Reenactment Against a Backdrop of Judicial and Regulatory Interpretation.</w:t>
      </w:r>
    </w:p>
    <w:p w14:paraId="6568989A" w14:textId="1E3597FA" w:rsidR="009439B9" w:rsidRDefault="00DF3E84" w:rsidP="00C2028C">
      <w:pPr>
        <w:pStyle w:val="BodyText"/>
      </w:pPr>
      <w:r w:rsidRPr="00811663">
        <w:t>Even when it does not expressly incorporate judicial or regulatory interpretation into statutory language</w:t>
      </w:r>
      <w:r>
        <w:t xml:space="preserve"> – as it did repeatedly throughout the ADA – </w:t>
      </w:r>
      <w:r w:rsidRPr="00811663">
        <w:t>Congress can effectively adopt</w:t>
      </w:r>
      <w:r w:rsidR="00F03D93">
        <w:t xml:space="preserve"> </w:t>
      </w:r>
      <w:r w:rsidRPr="00811663">
        <w:t xml:space="preserve">such an interpretation through later legislation or reenactment. “[W]hen Congress ‘adopt[s] the language used in [an] earlier act,’ [the Court] presume[s] that Congress ‘adopted also the construction given by this Court to such language, and made it a part of </w:t>
      </w:r>
      <w:r w:rsidRPr="00811663">
        <w:lastRenderedPageBreak/>
        <w:t>the enactment.’”</w:t>
      </w:r>
      <w:r w:rsidRPr="00811663">
        <w:rPr>
          <w:vertAlign w:val="superscript"/>
        </w:rPr>
        <w:footnoteReference w:id="56"/>
      </w:r>
      <w:r w:rsidRPr="00811663">
        <w:t xml:space="preserve"> The language of section 12132 is almost identical to that of section 504 and thus adopts the construction of the latter statute</w:t>
      </w:r>
      <w:r>
        <w:t xml:space="preserve"> at the time of the ADA’s enactment</w:t>
      </w:r>
      <w:r w:rsidRPr="00811663">
        <w:t>, including its prohibition of both intentional and unintentional discrimination.</w:t>
      </w:r>
      <w:r>
        <w:t xml:space="preserve"> </w:t>
      </w:r>
    </w:p>
    <w:p w14:paraId="7300E0EF" w14:textId="04F6701C" w:rsidR="00DF3E84" w:rsidRPr="00E17912" w:rsidRDefault="00DF3E84" w:rsidP="00E802FB">
      <w:pPr>
        <w:pStyle w:val="BodyText"/>
      </w:pPr>
      <w:r>
        <w:t xml:space="preserve">The </w:t>
      </w:r>
      <w:r w:rsidR="00282E86">
        <w:t xml:space="preserve">Supreme </w:t>
      </w:r>
      <w:r>
        <w:t xml:space="preserve">Court applied this principle in the context of the ADA in </w:t>
      </w:r>
      <w:r w:rsidRPr="00421901">
        <w:rPr>
          <w:i/>
          <w:iCs/>
        </w:rPr>
        <w:t>Toyota Motor Manufacturing, Kentucky, Inc. v. Williams</w:t>
      </w:r>
      <w:r>
        <w:t>.</w:t>
      </w:r>
      <w:r>
        <w:rPr>
          <w:rStyle w:val="FootnoteReference"/>
        </w:rPr>
        <w:footnoteReference w:id="57"/>
      </w:r>
      <w:r w:rsidR="00282E86">
        <w:t xml:space="preserve"> While</w:t>
      </w:r>
      <w:r>
        <w:t xml:space="preserve"> this case arose under a different title of the ADA – Title I</w:t>
      </w:r>
      <w:r w:rsidR="00832AD1">
        <w:t>, prohibiting disability discrimination in employment</w:t>
      </w:r>
      <w:r>
        <w:t xml:space="preserve"> – </w:t>
      </w:r>
      <w:r w:rsidR="00832AD1" w:rsidRPr="00832AD1">
        <w:rPr>
          <w:i/>
          <w:iCs/>
        </w:rPr>
        <w:t>Toyota</w:t>
      </w:r>
      <w:r w:rsidR="00832AD1">
        <w:t xml:space="preserve"> </w:t>
      </w:r>
      <w:r>
        <w:t>addressed the definition of disability applicable to the entire statute. In relying on the definition in the Section 504 regulations, the Court held that “</w:t>
      </w:r>
      <w:r w:rsidRPr="0043048D">
        <w:t>Congress</w:t>
      </w:r>
      <w:r>
        <w:t>’</w:t>
      </w:r>
      <w:r w:rsidRPr="0043048D">
        <w:t xml:space="preserve"> repetition of a well-established term generally implies that Congress intended the term to be construed</w:t>
      </w:r>
      <w:r>
        <w:t xml:space="preserve"> </w:t>
      </w:r>
      <w:r w:rsidRPr="0043048D">
        <w:t>in accordance with pre-existing regulatory interpretations.</w:t>
      </w:r>
      <w:r>
        <w:t>”</w:t>
      </w:r>
      <w:r>
        <w:rPr>
          <w:rStyle w:val="FootnoteReference"/>
        </w:rPr>
        <w:footnoteReference w:id="58"/>
      </w:r>
      <w:r>
        <w:t xml:space="preserve"> The terms </w:t>
      </w:r>
      <w:r w:rsidR="007C0A8E">
        <w:t>used in</w:t>
      </w:r>
      <w:r>
        <w:t xml:space="preserve"> Section 12132 are almost identical to the well-established terms of Section 504; the Court’s </w:t>
      </w:r>
      <w:r w:rsidR="004E581A">
        <w:t>holding</w:t>
      </w:r>
      <w:r>
        <w:t xml:space="preserve"> in </w:t>
      </w:r>
      <w:r>
        <w:rPr>
          <w:i/>
          <w:iCs/>
        </w:rPr>
        <w:t>Toyota</w:t>
      </w:r>
      <w:r>
        <w:t xml:space="preserve"> means that the former provisions should be “construed in accordance with pre-existing regulatory interpretations.”</w:t>
      </w:r>
      <w:r w:rsidR="00C6511B">
        <w:rPr>
          <w:rStyle w:val="FootnoteReference"/>
        </w:rPr>
        <w:footnoteReference w:id="59"/>
      </w:r>
      <w:r w:rsidR="001071B1">
        <w:t xml:space="preserve"> In</w:t>
      </w:r>
      <w:r w:rsidR="0001546F">
        <w:t xml:space="preserve"> </w:t>
      </w:r>
      <w:r w:rsidR="0001546F" w:rsidRPr="001071B1">
        <w:rPr>
          <w:i/>
          <w:iCs/>
        </w:rPr>
        <w:t>Bragdon v. Abbott</w:t>
      </w:r>
      <w:r w:rsidR="00201810">
        <w:t xml:space="preserve">, decided four years earlier, </w:t>
      </w:r>
      <w:r w:rsidR="000559FB">
        <w:t xml:space="preserve">the Court </w:t>
      </w:r>
      <w:r w:rsidR="00201810">
        <w:t xml:space="preserve">had also addressed </w:t>
      </w:r>
      <w:r w:rsidR="000559FB">
        <w:t xml:space="preserve">the interpretation of the definition of disability in the ADA. </w:t>
      </w:r>
      <w:r w:rsidR="00E802FB">
        <w:t>It held that “[w]</w:t>
      </w:r>
      <w:r w:rsidR="00E802FB" w:rsidRPr="00E802FB">
        <w:t xml:space="preserve">hen administrative and judicial interpretations have settled the meaning of an existing statutory </w:t>
      </w:r>
      <w:r w:rsidR="00E802FB" w:rsidRPr="00E802FB">
        <w:lastRenderedPageBreak/>
        <w:t>provision, repetition of the same language in a new statute indicates, as a general matter, the intent to incorporate its administrative and judicial interpretations as well.</w:t>
      </w:r>
      <w:r w:rsidR="00E802FB">
        <w:t>”</w:t>
      </w:r>
      <w:r w:rsidR="00E802FB">
        <w:rPr>
          <w:rStyle w:val="FootnoteReference"/>
        </w:rPr>
        <w:footnoteReference w:id="60"/>
      </w:r>
      <w:r w:rsidR="00201810">
        <w:t xml:space="preserve"> </w:t>
      </w:r>
    </w:p>
    <w:p w14:paraId="03C217A1" w14:textId="21BD70D6" w:rsidR="00DF3E84" w:rsidRPr="00F92A89" w:rsidRDefault="00DF3E84" w:rsidP="00C2028C">
      <w:pPr>
        <w:pStyle w:val="BodyText"/>
      </w:pPr>
      <w:r>
        <w:t xml:space="preserve">Similarly, when Congress </w:t>
      </w:r>
      <w:r w:rsidRPr="00811663">
        <w:t>re-enacts</w:t>
      </w:r>
      <w:r w:rsidR="004E581A">
        <w:t xml:space="preserve"> a </w:t>
      </w:r>
      <w:r w:rsidRPr="00811663">
        <w:t xml:space="preserve">statute without disavowing </w:t>
      </w:r>
      <w:r>
        <w:t xml:space="preserve">a well-established regulatory interpretation, it effectively adopts that interpretation into the statute. In the 1978 case of </w:t>
      </w:r>
      <w:r w:rsidRPr="00115D6C">
        <w:rPr>
          <w:i/>
          <w:iCs/>
        </w:rPr>
        <w:t>Lorillard v. Pons</w:t>
      </w:r>
      <w:r w:rsidRPr="00FC0F93">
        <w:t xml:space="preserve">, </w:t>
      </w:r>
      <w:r w:rsidR="00C561E9">
        <w:t xml:space="preserve">for example, </w:t>
      </w:r>
      <w:r>
        <w:t>the Court held that “</w:t>
      </w:r>
      <w:r w:rsidRPr="00FC0F93">
        <w:t>Congress is presumed to be aware of an administrative or judicial interpretation of a statute and to adopt that interpretation when it re-enacts a statute without change</w:t>
      </w:r>
      <w:r>
        <w:t>.”</w:t>
      </w:r>
      <w:r w:rsidR="0055487F">
        <w:rPr>
          <w:rStyle w:val="FootnoteReference"/>
        </w:rPr>
        <w:footnoteReference w:id="61"/>
      </w:r>
      <w:r>
        <w:t xml:space="preserve"> Interestingly, the </w:t>
      </w:r>
      <w:r w:rsidRPr="00262B4E">
        <w:rPr>
          <w:i/>
          <w:iCs/>
        </w:rPr>
        <w:t>Reinhart</w:t>
      </w:r>
      <w:r>
        <w:t xml:space="preserve"> Concurrence cites </w:t>
      </w:r>
      <w:r>
        <w:rPr>
          <w:i/>
          <w:iCs/>
        </w:rPr>
        <w:t>Lorillard</w:t>
      </w:r>
      <w:r>
        <w:t xml:space="preserve"> but omits this passage referencing “administrative . . . interpretation.”</w:t>
      </w:r>
      <w:r>
        <w:rPr>
          <w:rStyle w:val="FootnoteReference"/>
        </w:rPr>
        <w:footnoteReference w:id="62"/>
      </w:r>
      <w:r>
        <w:t xml:space="preserve"> That opinion also harnesses </w:t>
      </w:r>
      <w:r w:rsidRPr="009403F3">
        <w:rPr>
          <w:i/>
          <w:iCs/>
        </w:rPr>
        <w:t>Lorillard</w:t>
      </w:r>
      <w:r>
        <w:t xml:space="preserve"> in service of the argument that the drafters of the ADA must have known about – and imported – Title VI’s limitation to intentional discrimination. This is incorrect for reasons discussed in Section VIII below. </w:t>
      </w:r>
    </w:p>
    <w:p w14:paraId="31E985B2" w14:textId="23DE2FA1" w:rsidR="00733053" w:rsidRDefault="00DF3E84" w:rsidP="00C2028C">
      <w:pPr>
        <w:pStyle w:val="BodyText"/>
      </w:pPr>
      <w:r w:rsidRPr="00811663">
        <w:t>While Congress is</w:t>
      </w:r>
      <w:r>
        <w:t xml:space="preserve"> generally</w:t>
      </w:r>
      <w:r w:rsidRPr="00811663">
        <w:t xml:space="preserve"> presumed to know the law when it legislates,</w:t>
      </w:r>
      <w:r w:rsidRPr="00811663">
        <w:rPr>
          <w:vertAlign w:val="superscript"/>
        </w:rPr>
        <w:footnoteReference w:id="63"/>
      </w:r>
      <w:r w:rsidRPr="00811663">
        <w:t xml:space="preserve"> this doctrine of legislative re-enactment is stronger where, as here, there is explicit evidence </w:t>
      </w:r>
      <w:r w:rsidRPr="00811663">
        <w:lastRenderedPageBreak/>
        <w:t>that Congress was aware of and adopted the regulatory interpretation in question.</w:t>
      </w:r>
      <w:r w:rsidRPr="00811663">
        <w:rPr>
          <w:vertAlign w:val="superscript"/>
        </w:rPr>
        <w:footnoteReference w:id="64"/>
      </w:r>
      <w:r w:rsidRPr="00811663">
        <w:t xml:space="preserve"> </w:t>
      </w:r>
      <w:r w:rsidR="00733053">
        <w:t xml:space="preserve">It’s true that </w:t>
      </w:r>
      <w:r w:rsidR="00EE5784">
        <w:t xml:space="preserve">the </w:t>
      </w:r>
      <w:r w:rsidR="00EE5784" w:rsidRPr="00EE5784">
        <w:rPr>
          <w:i/>
          <w:iCs/>
        </w:rPr>
        <w:t>Reinhart</w:t>
      </w:r>
      <w:r w:rsidR="00EE5784">
        <w:t xml:space="preserve"> Concurrence</w:t>
      </w:r>
      <w:r w:rsidR="00733053">
        <w:t xml:space="preserve"> expressly disavows reliance on legislative history</w:t>
      </w:r>
      <w:r w:rsidR="00B13094">
        <w:t xml:space="preserve"> to elicit the intent of a statute</w:t>
      </w:r>
      <w:r w:rsidR="00447440">
        <w:rPr>
          <w:rStyle w:val="FootnoteReference"/>
        </w:rPr>
        <w:footnoteReference w:id="65"/>
      </w:r>
      <w:r w:rsidR="00E17A9F">
        <w:t xml:space="preserve"> – </w:t>
      </w:r>
      <w:r w:rsidR="00B83D06">
        <w:t xml:space="preserve">which argument I address in Section VI below </w:t>
      </w:r>
      <w:r w:rsidR="009E18B2">
        <w:t>–</w:t>
      </w:r>
      <w:r w:rsidR="00B83D06">
        <w:t xml:space="preserve"> </w:t>
      </w:r>
      <w:r w:rsidR="00515D8F">
        <w:t xml:space="preserve">its relevance here is to </w:t>
      </w:r>
      <w:r w:rsidR="009E18B2">
        <w:t xml:space="preserve">Congressional awareness rather than intent. </w:t>
      </w:r>
    </w:p>
    <w:p w14:paraId="4811370E" w14:textId="62BAC377" w:rsidR="00DF3E84" w:rsidRPr="00811663" w:rsidRDefault="00DF3E84" w:rsidP="00C2028C">
      <w:pPr>
        <w:pStyle w:val="BodyText"/>
      </w:pPr>
      <w:r w:rsidRPr="00811663">
        <w:t>Congress has re-enacted Section 504 on numerous occasions</w:t>
      </w:r>
      <w:r w:rsidRPr="00811663">
        <w:rPr>
          <w:vertAlign w:val="superscript"/>
        </w:rPr>
        <w:footnoteReference w:id="66"/>
      </w:r>
      <w:r w:rsidRPr="00811663">
        <w:t xml:space="preserve"> and the ADA once</w:t>
      </w:r>
      <w:r w:rsidRPr="00811663">
        <w:rPr>
          <w:vertAlign w:val="superscript"/>
        </w:rPr>
        <w:footnoteReference w:id="67"/>
      </w:r>
      <w:r w:rsidRPr="00811663">
        <w:t xml:space="preserve"> since their original passage, at no time calling into question the interpretation reflected in the then-applicable </w:t>
      </w:r>
      <w:r>
        <w:t>Section 504 and Title II r</w:t>
      </w:r>
      <w:r w:rsidRPr="00811663">
        <w:t>egulations.</w:t>
      </w:r>
      <w:r w:rsidRPr="00811663">
        <w:rPr>
          <w:vertAlign w:val="superscript"/>
        </w:rPr>
        <w:footnoteReference w:id="68"/>
      </w:r>
    </w:p>
    <w:p w14:paraId="5779FD6F" w14:textId="4CADE11B" w:rsidR="00DF3E84" w:rsidRPr="00811663" w:rsidRDefault="00C9474F" w:rsidP="00C2028C">
      <w:pPr>
        <w:pStyle w:val="BodyText"/>
      </w:pPr>
      <w:r>
        <w:t>Furthermore, i</w:t>
      </w:r>
      <w:r w:rsidR="00DF3E84">
        <w:t>t is clear that</w:t>
      </w:r>
      <w:r w:rsidR="00DF3E84" w:rsidRPr="00811663">
        <w:t>, during each of these re-enactments, Congress was aware of and often explicitly referenced the Section 504 regulations in legislative history.</w:t>
      </w:r>
      <w:r w:rsidR="00DF3E84">
        <w:t xml:space="preserve"> </w:t>
      </w:r>
      <w:r w:rsidR="00DF3E84" w:rsidRPr="00811663">
        <w:t>To start with, following promulgation of the initial Section 504 regulations in 1977, a House subcommittee conducted hearings on their implementation.</w:t>
      </w:r>
      <w:r w:rsidR="00DF3E84" w:rsidRPr="00811663">
        <w:rPr>
          <w:vertAlign w:val="superscript"/>
        </w:rPr>
        <w:footnoteReference w:id="69"/>
      </w:r>
      <w:r w:rsidR="00DF3E84">
        <w:t xml:space="preserve"> </w:t>
      </w:r>
      <w:r w:rsidR="00DF3E84" w:rsidRPr="00811663">
        <w:t xml:space="preserve">A year later, in a report discussing the re-enactment of Section 504, Congress specifically referred to the HEW Coordination Regulations and noted that, in light of these regulations, the “amendment </w:t>
      </w:r>
      <w:proofErr w:type="spellStart"/>
      <w:r w:rsidR="00DF3E84" w:rsidRPr="00811663">
        <w:lastRenderedPageBreak/>
        <w:t>codifie</w:t>
      </w:r>
      <w:proofErr w:type="spellEnd"/>
      <w:r w:rsidR="00DF3E84" w:rsidRPr="00811663">
        <w:t>[d] existing practice as a specific statutory requirement.”</w:t>
      </w:r>
      <w:r w:rsidR="00DF3E84" w:rsidRPr="00811663">
        <w:rPr>
          <w:vertAlign w:val="superscript"/>
        </w:rPr>
        <w:footnoteReference w:id="70"/>
      </w:r>
      <w:r w:rsidR="00DF3E84" w:rsidRPr="00811663">
        <w:t xml:space="preserve"> The report also explained that the new remedies provision was “designed to enhance the ability of handicapped individuals to assure compliance with . . . [Section 504] and the regulations promulgated thereunder.”</w:t>
      </w:r>
      <w:r w:rsidR="00DF3E84" w:rsidRPr="00811663">
        <w:rPr>
          <w:vertAlign w:val="superscript"/>
        </w:rPr>
        <w:footnoteReference w:id="71"/>
      </w:r>
      <w:r w:rsidR="00DF3E84" w:rsidRPr="00811663">
        <w:t xml:space="preserve"> </w:t>
      </w:r>
      <w:r w:rsidR="00DF3E84">
        <w:t>That is, as early as 1978, Congress assumed that disabled people would be able to “assure compliance” with Section 504 regulations.</w:t>
      </w:r>
    </w:p>
    <w:p w14:paraId="7DFC73FF" w14:textId="77777777" w:rsidR="00DF3E84" w:rsidRPr="004F555F" w:rsidRDefault="00DF3E84" w:rsidP="00C2028C">
      <w:pPr>
        <w:pStyle w:val="BodyText"/>
      </w:pPr>
      <w:r w:rsidRPr="004F555F">
        <w:t>As noted above, the 1978 amendment to Section 504 required each agency to issue regulations implementing that statute as it applied to the activities of the agency itself and to submit them to Congress:</w:t>
      </w:r>
    </w:p>
    <w:p w14:paraId="58FAF452" w14:textId="77777777" w:rsidR="00DF3E84" w:rsidRPr="004F555F" w:rsidRDefault="00DF3E84" w:rsidP="00DF3E84">
      <w:pPr>
        <w:spacing w:line="240" w:lineRule="auto"/>
        <w:ind w:left="720"/>
      </w:pPr>
      <w:r w:rsidRPr="004F555F">
        <w:t xml:space="preserve">The head of each such agency shall promulgate such regulations as may be necessary to carry out the amendments to this section made by the Rehabilitation, Comprehensive Services, and Developmental Disabilities Act of 1978. </w:t>
      </w:r>
      <w:r w:rsidRPr="004F555F">
        <w:rPr>
          <w:b/>
          <w:bCs/>
        </w:rPr>
        <w:t>Copies of any proposed regulation shall be submitted to appropriate authorizing committees of the Congress, and such regulation may take effect no earlier than the thirtieth day after the date on which such regulation is so submitted to such committees.</w:t>
      </w:r>
      <w:r w:rsidRPr="003223C5">
        <w:rPr>
          <w:rStyle w:val="FootnoteReference"/>
        </w:rPr>
        <w:footnoteReference w:id="72"/>
      </w:r>
      <w:r w:rsidRPr="004F555F">
        <w:t xml:space="preserve"> </w:t>
      </w:r>
    </w:p>
    <w:p w14:paraId="2E7BE334" w14:textId="77777777" w:rsidR="00DF3E84" w:rsidRPr="004F555F" w:rsidRDefault="00DF3E84" w:rsidP="00B33E8B">
      <w:pPr>
        <w:pStyle w:val="BodyText"/>
        <w:ind w:firstLine="0"/>
      </w:pPr>
      <w:r w:rsidRPr="004F555F">
        <w:t>Pursuant to that requirement, congressional committees have had the opportunity to review</w:t>
      </w:r>
      <w:r>
        <w:t xml:space="preserve"> </w:t>
      </w:r>
      <w:r w:rsidRPr="004F555F">
        <w:t>many of the regulations implementing Section 504</w:t>
      </w:r>
      <w:r>
        <w:t>, at least 30 such regulations prior to the passage of the ADA.</w:t>
      </w:r>
      <w:r>
        <w:rPr>
          <w:rStyle w:val="FootnoteReference"/>
        </w:rPr>
        <w:footnoteReference w:id="73"/>
      </w:r>
      <w:r>
        <w:t xml:space="preserve"> Congress was fully aware of the well-established regulatory interpretation of Section 504 – including its application to the potentially unintentional forms of discrimination listed above – when it drafted and enacted the ADA. </w:t>
      </w:r>
    </w:p>
    <w:p w14:paraId="20C4FAAC" w14:textId="1C4BA92C" w:rsidR="00134FF7" w:rsidRDefault="006D7CCB" w:rsidP="00FA4B31">
      <w:pPr>
        <w:pStyle w:val="Heading1"/>
      </w:pPr>
      <w:bookmarkStart w:id="3" w:name="_The_Concurrences_Ignore"/>
      <w:bookmarkEnd w:id="3"/>
      <w:r>
        <w:t>The Concurrences Ignore</w:t>
      </w:r>
      <w:r w:rsidR="00763171">
        <w:t xml:space="preserve"> </w:t>
      </w:r>
      <w:r w:rsidR="00CF3E07">
        <w:t>The Whole</w:t>
      </w:r>
      <w:r w:rsidR="00442C38">
        <w:t>-Text Canon</w:t>
      </w:r>
      <w:r w:rsidR="0003506D">
        <w:t>.</w:t>
      </w:r>
    </w:p>
    <w:p w14:paraId="6BD1BC0C" w14:textId="49B8B55F" w:rsidR="00533FC3" w:rsidRDefault="007B2A7E" w:rsidP="00E8032F">
      <w:pPr>
        <w:pStyle w:val="BodyText"/>
      </w:pPr>
      <w:r>
        <w:lastRenderedPageBreak/>
        <w:t>N</w:t>
      </w:r>
      <w:r w:rsidR="00533FC3" w:rsidRPr="005332E9">
        <w:t xml:space="preserve">either Judge </w:t>
      </w:r>
      <w:proofErr w:type="spellStart"/>
      <w:r w:rsidR="00533FC3" w:rsidRPr="005332E9">
        <w:t>Readler</w:t>
      </w:r>
      <w:proofErr w:type="spellEnd"/>
      <w:r w:rsidR="00533FC3" w:rsidRPr="005332E9">
        <w:t xml:space="preserve"> nor Judge Murphy – textualists though they may be – cite to any of </w:t>
      </w:r>
      <w:r w:rsidR="001D08B9" w:rsidRPr="005332E9">
        <w:t xml:space="preserve">Sections </w:t>
      </w:r>
      <w:r w:rsidR="00533FC3">
        <w:t>12134(b), 12134(c), 12201(b), 12201(c), 12204(a), or 12204(b)</w:t>
      </w:r>
      <w:r w:rsidR="00533FC3" w:rsidRPr="005332E9">
        <w:t xml:space="preserve"> of the ADA</w:t>
      </w:r>
      <w:r w:rsidR="00533FC3">
        <w:t xml:space="preserve"> or to </w:t>
      </w:r>
      <w:r w:rsidR="004E4FF4">
        <w:t xml:space="preserve">the regulations that those provisions </w:t>
      </w:r>
      <w:r w:rsidR="00EF2F04">
        <w:t xml:space="preserve">explicitly </w:t>
      </w:r>
      <w:r w:rsidR="004E4FF4">
        <w:t>incorporate by reference:</w:t>
      </w:r>
      <w:r w:rsidR="008A4462">
        <w:t xml:space="preserve"> </w:t>
      </w:r>
      <w:r w:rsidR="00533FC3">
        <w:t xml:space="preserve">the HEW Coordination Regulations, </w:t>
      </w:r>
      <w:r>
        <w:t xml:space="preserve">the </w:t>
      </w:r>
      <w:r w:rsidR="00533FC3">
        <w:t xml:space="preserve">DOJ agency regulations, </w:t>
      </w:r>
      <w:r w:rsidR="004E4FF4">
        <w:t xml:space="preserve">and </w:t>
      </w:r>
      <w:r>
        <w:t xml:space="preserve">the </w:t>
      </w:r>
      <w:r w:rsidR="00533FC3">
        <w:t>MGRAD</w:t>
      </w:r>
      <w:r w:rsidR="00533FC3" w:rsidRPr="005332E9">
        <w:t>.</w:t>
      </w:r>
      <w:r w:rsidR="008A4462">
        <w:t xml:space="preserve"> </w:t>
      </w:r>
      <w:r w:rsidR="00697F8F">
        <w:t xml:space="preserve">This violates the whole-text canon of statutory interpretation. </w:t>
      </w:r>
    </w:p>
    <w:p w14:paraId="07409A1E" w14:textId="67FF1F7E" w:rsidR="00763171" w:rsidRDefault="00763171" w:rsidP="00FA4B31">
      <w:pPr>
        <w:pStyle w:val="Heading2"/>
        <w:numPr>
          <w:ilvl w:val="0"/>
          <w:numId w:val="13"/>
        </w:numPr>
      </w:pPr>
      <w:r>
        <w:t>The Whole-Text Canon</w:t>
      </w:r>
      <w:r w:rsidR="0067667C">
        <w:t>.</w:t>
      </w:r>
    </w:p>
    <w:p w14:paraId="7D448769" w14:textId="2103B8B0" w:rsidR="00CF3E07" w:rsidRDefault="00C52615" w:rsidP="00C2028C">
      <w:pPr>
        <w:pStyle w:val="BodyText"/>
      </w:pPr>
      <w:r>
        <w:t xml:space="preserve">As Justice Scalia </w:t>
      </w:r>
      <w:r w:rsidR="007C658E">
        <w:t xml:space="preserve">has </w:t>
      </w:r>
      <w:r>
        <w:t xml:space="preserve">explained, </w:t>
      </w:r>
      <w:r w:rsidR="00D87A0F">
        <w:t>“</w:t>
      </w:r>
      <w:r w:rsidR="007C1353">
        <w:t>[s]</w:t>
      </w:r>
      <w:proofErr w:type="spellStart"/>
      <w:r w:rsidR="00D87A0F" w:rsidRPr="00D87A0F">
        <w:t>tatutory</w:t>
      </w:r>
      <w:proofErr w:type="spellEnd"/>
      <w:r w:rsidR="00D87A0F" w:rsidRPr="00D87A0F">
        <w:t xml:space="preserve"> construction</w:t>
      </w:r>
      <w:r w:rsidR="00D87A0F">
        <w:t xml:space="preserve"> . . .</w:t>
      </w:r>
      <w:r w:rsidR="00D87A0F" w:rsidRPr="00D87A0F">
        <w:t xml:space="preserve"> is a holistic endeavor. A provision that may seem ambiguous in isolation is often clarified by the remainder of the statutory scheme</w:t>
      </w:r>
      <w:r w:rsidR="00A30AE3">
        <w:t xml:space="preserve"> – </w:t>
      </w:r>
      <w:r w:rsidR="00D87A0F" w:rsidRPr="00D87A0F">
        <w:t>because the same terminology is used elsewhere in a context that makes its meaning clear</w:t>
      </w:r>
      <w:r w:rsidR="00250A94">
        <w:t>.”</w:t>
      </w:r>
      <w:r w:rsidR="00250A94">
        <w:rPr>
          <w:rStyle w:val="FootnoteReference"/>
        </w:rPr>
        <w:footnoteReference w:id="74"/>
      </w:r>
      <w:r w:rsidR="007C1353">
        <w:t xml:space="preserve"> He and his co-author stated this principle in even stronger </w:t>
      </w:r>
      <w:r w:rsidR="001442B3">
        <w:t>terms</w:t>
      </w:r>
      <w:r w:rsidR="007C1353">
        <w:t xml:space="preserve"> </w:t>
      </w:r>
      <w:r w:rsidR="00CF3E07">
        <w:t xml:space="preserve">in their book </w:t>
      </w:r>
      <w:r w:rsidR="003C0AFF" w:rsidRPr="001442B3">
        <w:rPr>
          <w:i/>
          <w:iCs/>
        </w:rPr>
        <w:t xml:space="preserve">Reading Law: </w:t>
      </w:r>
      <w:r w:rsidR="00C42A53" w:rsidRPr="001442B3">
        <w:rPr>
          <w:i/>
          <w:iCs/>
        </w:rPr>
        <w:t>The Interpretation of Legal Texts</w:t>
      </w:r>
      <w:r w:rsidR="005D6C95">
        <w:t xml:space="preserve"> (“</w:t>
      </w:r>
      <w:r w:rsidR="005D6C95" w:rsidRPr="005D6C95">
        <w:rPr>
          <w:i/>
          <w:iCs/>
        </w:rPr>
        <w:t>Reading Law</w:t>
      </w:r>
      <w:r w:rsidR="005D6C95">
        <w:t>”)</w:t>
      </w:r>
      <w:r w:rsidR="00C42A53">
        <w:t xml:space="preserve">: </w:t>
      </w:r>
    </w:p>
    <w:p w14:paraId="65C75258" w14:textId="1B042CBA" w:rsidR="00F34A30" w:rsidRDefault="00CF3E07" w:rsidP="000E2D13">
      <w:pPr>
        <w:spacing w:line="240" w:lineRule="auto"/>
        <w:ind w:left="720" w:right="720"/>
      </w:pPr>
      <w:r>
        <w:t xml:space="preserve">Perhaps no interpretive fault is more common than the failure to follow the whole-text canon, </w:t>
      </w:r>
      <w:r w:rsidRPr="004964C1">
        <w:t>which calls on the judicial interpreter to consider the entire text, in view of its structure and of the physical and logical relation of its many parts.</w:t>
      </w:r>
      <w:r>
        <w:t xml:space="preserve"> </w:t>
      </w:r>
      <w:r w:rsidRPr="007F7B0E">
        <w:t xml:space="preserve">Sir Edward Coke explained the canon in 1628: </w:t>
      </w:r>
      <w:r w:rsidR="00C42A53">
        <w:t>“</w:t>
      </w:r>
      <w:r w:rsidRPr="007F7B0E">
        <w:t xml:space="preserve">[I]t is the most natural and genuine exposition of a statute to construe one part of the statute by another part of the same statute, for that best </w:t>
      </w:r>
      <w:proofErr w:type="spellStart"/>
      <w:r w:rsidRPr="007F7B0E">
        <w:t>expresseth</w:t>
      </w:r>
      <w:proofErr w:type="spellEnd"/>
      <w:r w:rsidRPr="007F7B0E">
        <w:t xml:space="preserve"> the meaning of the makers.</w:t>
      </w:r>
      <w:r w:rsidR="00C42A53">
        <w:t>”</w:t>
      </w:r>
      <w:r>
        <w:rPr>
          <w:rStyle w:val="FootnoteReference"/>
        </w:rPr>
        <w:footnoteReference w:id="75"/>
      </w:r>
    </w:p>
    <w:p w14:paraId="7C34B3FF" w14:textId="3605559F" w:rsidR="004C2B74" w:rsidRDefault="00A71CD5" w:rsidP="00600209">
      <w:pPr>
        <w:pStyle w:val="BodyText"/>
        <w:ind w:firstLine="0"/>
      </w:pPr>
      <w:r>
        <w:t>Chief Just</w:t>
      </w:r>
      <w:r w:rsidR="00C24490">
        <w:t xml:space="preserve">ice Roberts underscored the need to put a statutory provision in context in the 2015 case of </w:t>
      </w:r>
      <w:r w:rsidR="00C24490" w:rsidRPr="00D40A6E">
        <w:rPr>
          <w:i/>
          <w:iCs/>
        </w:rPr>
        <w:t>King v. Burwell</w:t>
      </w:r>
      <w:r w:rsidR="00C24490">
        <w:t>:</w:t>
      </w:r>
    </w:p>
    <w:p w14:paraId="674AE0F0" w14:textId="138494E7" w:rsidR="005678E0" w:rsidRDefault="00C24490" w:rsidP="00C2028C">
      <w:pPr>
        <w:pStyle w:val="Quote"/>
      </w:pPr>
      <w:r w:rsidRPr="00C24490">
        <w:t>If the statutory language is plain, we must enforce it according to its terms</w:t>
      </w:r>
      <w:r w:rsidR="00071411">
        <w:t xml:space="preserve"> </w:t>
      </w:r>
      <w:r w:rsidRPr="00C24490">
        <w:t xml:space="preserve">. </w:t>
      </w:r>
      <w:r w:rsidR="00024CE2">
        <w:t>. ..</w:t>
      </w:r>
      <w:r w:rsidR="00EE734D">
        <w:t xml:space="preserve"> </w:t>
      </w:r>
      <w:r w:rsidRPr="00C24490">
        <w:t>But oftentimes the “meaning</w:t>
      </w:r>
      <w:r w:rsidR="00024CE2">
        <w:t xml:space="preserve"> – </w:t>
      </w:r>
      <w:r w:rsidRPr="00C24490">
        <w:t>or ambiguity</w:t>
      </w:r>
      <w:r w:rsidR="00024CE2">
        <w:t xml:space="preserve"> – </w:t>
      </w:r>
      <w:r w:rsidRPr="00C24490">
        <w:t xml:space="preserve">of certain words or phrases may only become evident when placed in context.” So when deciding whether the language is plain, we must read the words “in their context and </w:t>
      </w:r>
      <w:r w:rsidRPr="00C24490">
        <w:lastRenderedPageBreak/>
        <w:t>with a view to their place in the overall statutory scheme.”</w:t>
      </w:r>
      <w:r w:rsidR="00200839">
        <w:t xml:space="preserve"> </w:t>
      </w:r>
      <w:r w:rsidR="00200839" w:rsidRPr="00BF1D60">
        <w:rPr>
          <w:b/>
          <w:bCs/>
        </w:rPr>
        <w:t>Our duty, after all, is “to construe statutes, not isolated provisions</w:t>
      </w:r>
      <w:r w:rsidR="00200839" w:rsidRPr="00C47831">
        <w:rPr>
          <w:b/>
          <w:bCs/>
        </w:rPr>
        <w:t>.”</w:t>
      </w:r>
      <w:r w:rsidR="00024CE2">
        <w:rPr>
          <w:rStyle w:val="FootnoteReference"/>
        </w:rPr>
        <w:footnoteReference w:id="76"/>
      </w:r>
    </w:p>
    <w:p w14:paraId="0E8F9CE6" w14:textId="5FB5E521" w:rsidR="00567C2E" w:rsidRDefault="001427C7" w:rsidP="00C2028C">
      <w:pPr>
        <w:pStyle w:val="BodyText"/>
      </w:pPr>
      <w:r>
        <w:t>The whole-text canon</w:t>
      </w:r>
      <w:r w:rsidR="00623F5E">
        <w:t xml:space="preserve"> – </w:t>
      </w:r>
      <w:r w:rsidR="008F0BD6">
        <w:t xml:space="preserve">and </w:t>
      </w:r>
      <w:r w:rsidR="00E0267B">
        <w:t xml:space="preserve">the ADA’s statutory </w:t>
      </w:r>
      <w:r w:rsidR="00FB2102">
        <w:t xml:space="preserve">language </w:t>
      </w:r>
      <w:r w:rsidR="00E0267B">
        <w:t xml:space="preserve">– </w:t>
      </w:r>
      <w:r>
        <w:t xml:space="preserve">require </w:t>
      </w:r>
      <w:r w:rsidR="0061505A">
        <w:t xml:space="preserve">us </w:t>
      </w:r>
      <w:r>
        <w:t>to read the word “</w:t>
      </w:r>
      <w:r w:rsidR="000E2395">
        <w:t xml:space="preserve">discrimination” as well as </w:t>
      </w:r>
      <w:r w:rsidR="003507A2">
        <w:t xml:space="preserve">the phrases </w:t>
      </w:r>
      <w:r w:rsidR="000E2395">
        <w:t xml:space="preserve">“excluded from participation” and “denied the benefits” </w:t>
      </w:r>
      <w:r w:rsidR="00902F12">
        <w:t xml:space="preserve">in Section 12132 </w:t>
      </w:r>
      <w:r w:rsidR="0019520A">
        <w:t>in the context of</w:t>
      </w:r>
      <w:r w:rsidR="00B71407" w:rsidRPr="00B71407">
        <w:t xml:space="preserve"> </w:t>
      </w:r>
      <w:r w:rsidR="00B71407">
        <w:t>the ADA as a whole including the provisions discussed above: requiring that all sections of the ADA to provide at least as much protection as Section 504 and its regulations; instructing that implementing regulations meet specific incorporated standards; and setting forth the motivating “finding” that the “forms of discrimination” the entire statute was enacted to address include many beyond “outright intentional exclusion.”</w:t>
      </w:r>
      <w:r w:rsidR="00B57BBC">
        <w:rPr>
          <w:b/>
          <w:bCs/>
        </w:rPr>
        <w:t xml:space="preserve"> </w:t>
      </w:r>
      <w:r w:rsidR="004645BD">
        <w:t xml:space="preserve">Scalia </w:t>
      </w:r>
      <w:r w:rsidR="004645BD" w:rsidRPr="004645BD">
        <w:t>and</w:t>
      </w:r>
      <w:r w:rsidR="004645BD">
        <w:t xml:space="preserve"> Garner </w:t>
      </w:r>
      <w:r w:rsidR="005D6C95">
        <w:t xml:space="preserve">– in </w:t>
      </w:r>
      <w:r w:rsidR="005D6C95" w:rsidRPr="008A5580">
        <w:rPr>
          <w:i/>
          <w:iCs/>
        </w:rPr>
        <w:t>Reading Law</w:t>
      </w:r>
      <w:r w:rsidR="005D6C95">
        <w:t xml:space="preserve"> – </w:t>
      </w:r>
      <w:r w:rsidR="004645BD">
        <w:t>provide additional support for the central role of Section 12201(a)</w:t>
      </w:r>
      <w:r w:rsidR="00B5156B">
        <w:t xml:space="preserve"> in particular</w:t>
      </w:r>
      <w:r w:rsidR="004645BD">
        <w:t xml:space="preserve"> – and thus all Section 504 regulations – in interpreting Section 12132: “Definition sections </w:t>
      </w:r>
      <w:r w:rsidR="004645BD" w:rsidRPr="005A2F49">
        <w:rPr>
          <w:b/>
          <w:bCs/>
        </w:rPr>
        <w:t>and interpretation clauses are to be carefully followed</w:t>
      </w:r>
      <w:r w:rsidR="004645BD">
        <w:t>.”</w:t>
      </w:r>
      <w:r w:rsidR="004645BD">
        <w:rPr>
          <w:rStyle w:val="FootnoteReference"/>
        </w:rPr>
        <w:footnoteReference w:id="77"/>
      </w:r>
      <w:r w:rsidR="004645BD">
        <w:t xml:space="preserve"> Did I mention recently that Section 12201 is </w:t>
      </w:r>
      <w:r w:rsidR="008A5580">
        <w:t>en</w:t>
      </w:r>
      <w:r w:rsidR="004645BD">
        <w:t xml:space="preserve">titled “Construction”? </w:t>
      </w:r>
    </w:p>
    <w:p w14:paraId="4B505A1B" w14:textId="65615482" w:rsidR="00582A4E" w:rsidRDefault="00582A4E" w:rsidP="00C2028C">
      <w:pPr>
        <w:pStyle w:val="BodyText"/>
      </w:pPr>
      <w:r w:rsidRPr="00811663">
        <w:t xml:space="preserve">The Supreme Court explicitly recognized the power of </w:t>
      </w:r>
      <w:r w:rsidR="003930B9">
        <w:t xml:space="preserve">this </w:t>
      </w:r>
      <w:r w:rsidRPr="00811663">
        <w:t xml:space="preserve">“Construction” provision in </w:t>
      </w:r>
      <w:r w:rsidRPr="00811663">
        <w:rPr>
          <w:i/>
          <w:iCs/>
        </w:rPr>
        <w:t>Bragdon v. Abbott</w:t>
      </w:r>
      <w:r w:rsidRPr="00811663">
        <w:t>. There, the Court addressed the question whether asymptomatic HIV fell under the ADA’s definition of disability</w:t>
      </w:r>
      <w:r w:rsidR="007F46C4">
        <w:t>. T</w:t>
      </w:r>
      <w:r w:rsidRPr="00811663">
        <w:t xml:space="preserve">hat is, while the case arose under Title III of the ADA, the context in which the Court applied </w:t>
      </w:r>
      <w:r w:rsidR="00541860" w:rsidRPr="00811663">
        <w:t xml:space="preserve">Section </w:t>
      </w:r>
      <w:r w:rsidRPr="00811663">
        <w:t>12201</w:t>
      </w:r>
      <w:r w:rsidR="008D7423">
        <w:t>(a)</w:t>
      </w:r>
      <w:r w:rsidRPr="00811663">
        <w:t xml:space="preserve"> was a definition that applied </w:t>
      </w:r>
      <w:r w:rsidRPr="00811663">
        <w:lastRenderedPageBreak/>
        <w:t xml:space="preserve">to the entire statute. The Court held that the “directive [in </w:t>
      </w:r>
      <w:r w:rsidR="00BD7978" w:rsidRPr="00811663">
        <w:t xml:space="preserve">Section </w:t>
      </w:r>
      <w:r w:rsidRPr="00811663">
        <w:t xml:space="preserve">12201(a)] requires us to construe the ADA to grant </w:t>
      </w:r>
      <w:r w:rsidRPr="00F30A29">
        <w:rPr>
          <w:b/>
          <w:bCs/>
        </w:rPr>
        <w:t>at least as much protection as provided by the regulations implementing the Rehabilitation Act</w:t>
      </w:r>
      <w:r w:rsidRPr="00811663">
        <w:t>.”</w:t>
      </w:r>
      <w:r w:rsidRPr="00811663">
        <w:rPr>
          <w:vertAlign w:val="superscript"/>
        </w:rPr>
        <w:footnoteReference w:id="78"/>
      </w:r>
      <w:r w:rsidR="003D2219">
        <w:t xml:space="preserve"> </w:t>
      </w:r>
      <w:r w:rsidR="00BD7978">
        <w:t>Accordingly, the Court</w:t>
      </w:r>
      <w:r w:rsidR="00960E0E">
        <w:t xml:space="preserve"> relied on </w:t>
      </w:r>
      <w:r w:rsidR="00955E38">
        <w:t xml:space="preserve">the definition of disability as elaborated in </w:t>
      </w:r>
      <w:r w:rsidR="00960E0E">
        <w:t xml:space="preserve">regulations </w:t>
      </w:r>
      <w:r w:rsidR="00955E38">
        <w:t>implementing Section 504.</w:t>
      </w:r>
      <w:r w:rsidR="004D63E2">
        <w:rPr>
          <w:rStyle w:val="FootnoteReference"/>
        </w:rPr>
        <w:footnoteReference w:id="79"/>
      </w:r>
    </w:p>
    <w:p w14:paraId="0B1A8FC5" w14:textId="70CC6DCA" w:rsidR="002C3D2E" w:rsidRDefault="002C3D2E" w:rsidP="00E27650">
      <w:pPr>
        <w:pStyle w:val="BodyText"/>
      </w:pPr>
      <w:r>
        <w:t xml:space="preserve">If the statutory text of </w:t>
      </w:r>
      <w:r w:rsidR="00F16CD9">
        <w:t xml:space="preserve">Section </w:t>
      </w:r>
      <w:r>
        <w:t xml:space="preserve">12201(a) didn’t do the trick, </w:t>
      </w:r>
      <w:r>
        <w:rPr>
          <w:i/>
          <w:iCs/>
        </w:rPr>
        <w:t>Bragdon</w:t>
      </w:r>
      <w:r>
        <w:t xml:space="preserve"> should end the discussion</w:t>
      </w:r>
      <w:r w:rsidR="00DD798B">
        <w:t>.</w:t>
      </w:r>
      <w:r>
        <w:t xml:space="preserve"> </w:t>
      </w:r>
      <w:r w:rsidR="008138F8">
        <w:t>A</w:t>
      </w:r>
      <w:r w:rsidR="00E86106">
        <w:t xml:space="preserve">ny further attempts to ignore the Section 504 regulations in construing Section 12132, and thus any argument that Section 12132 does not reach unintentional discrimination. </w:t>
      </w:r>
    </w:p>
    <w:p w14:paraId="649D8B0F" w14:textId="0A62D4D1" w:rsidR="00582A4E" w:rsidRDefault="006D3D5B" w:rsidP="00C2028C">
      <w:pPr>
        <w:pStyle w:val="BodyText"/>
      </w:pPr>
      <w:r>
        <w:t xml:space="preserve">The </w:t>
      </w:r>
      <w:proofErr w:type="spellStart"/>
      <w:r w:rsidR="00101BEE" w:rsidRPr="00101BEE">
        <w:rPr>
          <w:i/>
          <w:iCs/>
        </w:rPr>
        <w:t>en</w:t>
      </w:r>
      <w:proofErr w:type="spellEnd"/>
      <w:r w:rsidR="00101BEE" w:rsidRPr="00101BEE">
        <w:rPr>
          <w:i/>
          <w:iCs/>
        </w:rPr>
        <w:t xml:space="preserve"> banc</w:t>
      </w:r>
      <w:r w:rsidR="00101BEE">
        <w:t xml:space="preserve"> </w:t>
      </w:r>
      <w:r>
        <w:t>Fifth Circuit case of</w:t>
      </w:r>
      <w:r w:rsidR="00582A4E">
        <w:t xml:space="preserve"> </w:t>
      </w:r>
      <w:r w:rsidR="00582A4E">
        <w:rPr>
          <w:i/>
          <w:iCs/>
        </w:rPr>
        <w:t>Frame v. City of Arlington</w:t>
      </w:r>
      <w:r>
        <w:t xml:space="preserve"> provides an example of </w:t>
      </w:r>
      <w:r w:rsidR="00473D16">
        <w:t>the application of S</w:t>
      </w:r>
      <w:r w:rsidR="009B4B01">
        <w:t xml:space="preserve">ection 12201(a) in </w:t>
      </w:r>
      <w:r w:rsidR="00713317">
        <w:t xml:space="preserve">a </w:t>
      </w:r>
      <w:r w:rsidR="0081544F">
        <w:t xml:space="preserve">factual context </w:t>
      </w:r>
      <w:r w:rsidR="00713317">
        <w:t xml:space="preserve">almost identical to that in </w:t>
      </w:r>
      <w:r w:rsidR="00183E09" w:rsidRPr="00473D16">
        <w:rPr>
          <w:i/>
          <w:iCs/>
        </w:rPr>
        <w:t>Reinhart</w:t>
      </w:r>
      <w:r w:rsidR="00103121">
        <w:t xml:space="preserve"> – Section 12132’s application to city sidewalks – though the case analyzed </w:t>
      </w:r>
      <w:r w:rsidR="00183E09">
        <w:t xml:space="preserve">a different part of the language of </w:t>
      </w:r>
      <w:r w:rsidR="00473D16">
        <w:t xml:space="preserve">Section </w:t>
      </w:r>
      <w:r w:rsidR="00183E09">
        <w:t xml:space="preserve">12132. </w:t>
      </w:r>
      <w:r w:rsidR="00E21DBF">
        <w:t xml:space="preserve">The question at issue in </w:t>
      </w:r>
      <w:r w:rsidR="00E21DBF" w:rsidRPr="00473D16">
        <w:rPr>
          <w:i/>
          <w:iCs/>
        </w:rPr>
        <w:t>Frame</w:t>
      </w:r>
      <w:r w:rsidR="00E21DBF">
        <w:t xml:space="preserve"> was whether </w:t>
      </w:r>
      <w:r w:rsidR="00A8672C">
        <w:t>the phrase “</w:t>
      </w:r>
      <w:r w:rsidR="00666D0C" w:rsidRPr="00666D0C">
        <w:t>services, programs, or activities</w:t>
      </w:r>
      <w:r w:rsidR="00666D0C">
        <w:t xml:space="preserve">” </w:t>
      </w:r>
      <w:r w:rsidR="00473D16">
        <w:t xml:space="preserve">in </w:t>
      </w:r>
      <w:r w:rsidR="00666D0C">
        <w:t xml:space="preserve">Section 12132 </w:t>
      </w:r>
      <w:r w:rsidR="00A445E2">
        <w:t xml:space="preserve">included </w:t>
      </w:r>
      <w:r w:rsidR="00FE29B5">
        <w:t xml:space="preserve">city sidewalks. </w:t>
      </w:r>
      <w:r w:rsidR="00473D16">
        <w:t xml:space="preserve">The </w:t>
      </w:r>
      <w:r w:rsidR="00B405B7">
        <w:t>Fifth Circuit held</w:t>
      </w:r>
      <w:r w:rsidR="00473D16">
        <w:t xml:space="preserve"> that it did: </w:t>
      </w:r>
      <w:r w:rsidR="00B405B7">
        <w:t>Title II and Section 504 “based on statutory text and structure . . . unambiguously extend to newly built and altered public sidewalks</w:t>
      </w:r>
      <w:r w:rsidR="00B405B7" w:rsidRPr="0013165E">
        <w:t>.</w:t>
      </w:r>
      <w:r w:rsidR="00B405B7">
        <w:t>”</w:t>
      </w:r>
      <w:r w:rsidR="00B405B7">
        <w:rPr>
          <w:rStyle w:val="FootnoteReference"/>
        </w:rPr>
        <w:footnoteReference w:id="80"/>
      </w:r>
      <w:r w:rsidR="008A4462">
        <w:t xml:space="preserve"> </w:t>
      </w:r>
    </w:p>
    <w:p w14:paraId="562359EC" w14:textId="1E79DE3E" w:rsidR="002278CE" w:rsidRDefault="00807D6C" w:rsidP="00C2028C">
      <w:pPr>
        <w:pStyle w:val="BodyText"/>
      </w:pPr>
      <w:r>
        <w:t xml:space="preserve">Following a detailed analysis of the language of Section 12132, establishing that – from a textual perspective – </w:t>
      </w:r>
      <w:r w:rsidR="00194969">
        <w:t xml:space="preserve">“services, programs </w:t>
      </w:r>
      <w:r w:rsidR="00AA7C7C">
        <w:t xml:space="preserve">[and] activities” included </w:t>
      </w:r>
      <w:r w:rsidR="00D42A1C">
        <w:t>city sidewalks</w:t>
      </w:r>
      <w:r w:rsidR="00AA7C7C">
        <w:t>,</w:t>
      </w:r>
      <w:r w:rsidR="00A4488A">
        <w:rPr>
          <w:rStyle w:val="FootnoteReference"/>
        </w:rPr>
        <w:footnoteReference w:id="81"/>
      </w:r>
      <w:r w:rsidR="00AA7C7C">
        <w:t xml:space="preserve"> </w:t>
      </w:r>
      <w:r w:rsidR="00101BEE">
        <w:t xml:space="preserve">the </w:t>
      </w:r>
      <w:r w:rsidR="00A4488A">
        <w:t xml:space="preserve">court turned to </w:t>
      </w:r>
      <w:r w:rsidR="0071766B">
        <w:t>Section</w:t>
      </w:r>
      <w:r w:rsidR="005E12B0">
        <w:t>s</w:t>
      </w:r>
      <w:r w:rsidR="0071766B">
        <w:t xml:space="preserve"> 12134</w:t>
      </w:r>
      <w:r w:rsidR="005E12B0">
        <w:t xml:space="preserve"> and 12201. The court first note</w:t>
      </w:r>
      <w:r w:rsidR="00B32ADE">
        <w:t>d</w:t>
      </w:r>
      <w:r w:rsidR="005E12B0">
        <w:t xml:space="preserve"> </w:t>
      </w:r>
      <w:r w:rsidR="004601C9">
        <w:t xml:space="preserve">that Section 12134(b) </w:t>
      </w:r>
      <w:r w:rsidR="004601C9">
        <w:lastRenderedPageBreak/>
        <w:t xml:space="preserve">required </w:t>
      </w:r>
      <w:r w:rsidR="0071766B">
        <w:t xml:space="preserve">that Title II’s regulations be consistent with </w:t>
      </w:r>
      <w:r w:rsidR="00987EA4">
        <w:t>the HEW Coordination Regulations, which in turn, required new and altered facilities to be accessible</w:t>
      </w:r>
      <w:r w:rsidR="00AA2723">
        <w:t>.</w:t>
      </w:r>
      <w:r w:rsidR="00AA2723">
        <w:rPr>
          <w:rStyle w:val="FootnoteReference"/>
        </w:rPr>
        <w:footnoteReference w:id="82"/>
      </w:r>
      <w:r w:rsidR="005E12B0">
        <w:t xml:space="preserve"> </w:t>
      </w:r>
      <w:r w:rsidR="00267D19">
        <w:t>This</w:t>
      </w:r>
      <w:r w:rsidR="00B32ADE">
        <w:t>, the court concluded,</w:t>
      </w:r>
      <w:r w:rsidR="00267D19">
        <w:t xml:space="preserve"> “</w:t>
      </w:r>
      <w:r w:rsidR="00267D19" w:rsidRPr="00267D19">
        <w:t>strongly suggests that Congress thought § 12132 would extend to such sidewalks</w:t>
      </w:r>
      <w:r w:rsidR="009710F5">
        <w:t>.”</w:t>
      </w:r>
      <w:r w:rsidR="009710F5">
        <w:rPr>
          <w:rStyle w:val="FootnoteReference"/>
        </w:rPr>
        <w:footnoteReference w:id="83"/>
      </w:r>
      <w:r w:rsidR="00261F72">
        <w:t xml:space="preserve"> </w:t>
      </w:r>
      <w:r w:rsidR="00316C97">
        <w:t xml:space="preserve">Then, citing Section 12201(a), the </w:t>
      </w:r>
      <w:r w:rsidR="000E30C8" w:rsidRPr="000E30C8">
        <w:rPr>
          <w:i/>
          <w:iCs/>
        </w:rPr>
        <w:t>Frame</w:t>
      </w:r>
      <w:r w:rsidR="000E30C8">
        <w:t xml:space="preserve"> </w:t>
      </w:r>
      <w:r w:rsidR="00316C97">
        <w:t>court explain</w:t>
      </w:r>
      <w:r w:rsidR="002D6886">
        <w:t>ed</w:t>
      </w:r>
      <w:r w:rsidR="00316C97">
        <w:t xml:space="preserve"> that </w:t>
      </w:r>
      <w:r w:rsidR="00B32ADE">
        <w:t>“</w:t>
      </w:r>
      <w:r w:rsidR="00DD2213">
        <w:t>the</w:t>
      </w:r>
      <w:r w:rsidR="00131903" w:rsidRPr="00131903">
        <w:t xml:space="preserve"> ADA actually prohibits courts from construing Title II to apply a lesser standard than the Rehabilitation Act </w:t>
      </w:r>
      <w:r w:rsidR="00131903" w:rsidRPr="00E07758">
        <w:rPr>
          <w:i/>
          <w:iCs/>
        </w:rPr>
        <w:t>and its implementing regulations</w:t>
      </w:r>
      <w:r w:rsidR="00A404D8" w:rsidRPr="00E07758">
        <w:t>”</w:t>
      </w:r>
      <w:r w:rsidR="00131903" w:rsidRPr="00E07758">
        <w:rPr>
          <w:rStyle w:val="FootnoteReference"/>
        </w:rPr>
        <w:footnoteReference w:id="84"/>
      </w:r>
      <w:r w:rsidR="00A404D8">
        <w:t xml:space="preserve"> and </w:t>
      </w:r>
      <w:r w:rsidR="00D73A19">
        <w:t>quotes</w:t>
      </w:r>
      <w:r w:rsidR="00A404D8">
        <w:t xml:space="preserve"> </w:t>
      </w:r>
      <w:r w:rsidR="00A404D8">
        <w:rPr>
          <w:i/>
          <w:iCs/>
        </w:rPr>
        <w:t>Bragdon</w:t>
      </w:r>
      <w:r w:rsidR="00A404D8">
        <w:t xml:space="preserve"> for the proposition </w:t>
      </w:r>
      <w:r w:rsidR="00F15CDB">
        <w:t xml:space="preserve">quoted above: </w:t>
      </w:r>
      <w:r w:rsidR="00A404D8">
        <w:t xml:space="preserve">that </w:t>
      </w:r>
      <w:r w:rsidR="00DD28FE">
        <w:t>Section 12201(a)</w:t>
      </w:r>
      <w:r w:rsidR="006772C3" w:rsidRPr="006772C3">
        <w:t xml:space="preserve"> </w:t>
      </w:r>
      <w:r w:rsidR="00C96838">
        <w:t>“‘</w:t>
      </w:r>
      <w:r w:rsidR="006772C3" w:rsidRPr="006772C3">
        <w:t>requires us to construe the ADA to grant at least as much protection as provided by the regulations implementing the Rehabilitation Act.</w:t>
      </w:r>
      <w:r w:rsidR="00CD2F9D">
        <w:t>’</w:t>
      </w:r>
      <w:r w:rsidR="006772C3" w:rsidRPr="006772C3">
        <w:t>”</w:t>
      </w:r>
      <w:r w:rsidR="00CD2F9D">
        <w:rPr>
          <w:rStyle w:val="FootnoteReference"/>
        </w:rPr>
        <w:footnoteReference w:id="85"/>
      </w:r>
    </w:p>
    <w:p w14:paraId="0576FC4D" w14:textId="39458C3D" w:rsidR="000E0A40" w:rsidRDefault="005A656F" w:rsidP="0008260B">
      <w:pPr>
        <w:pStyle w:val="BodyText"/>
      </w:pPr>
      <w:r>
        <w:t xml:space="preserve">As discussed in Section VIII below, the </w:t>
      </w:r>
      <w:r>
        <w:rPr>
          <w:i/>
          <w:iCs/>
        </w:rPr>
        <w:t xml:space="preserve">Frame </w:t>
      </w:r>
      <w:r>
        <w:t xml:space="preserve">court </w:t>
      </w:r>
      <w:r w:rsidR="007F651C">
        <w:t xml:space="preserve">further held that there is a private right of action to enforce the regulations implementing Section 12132, </w:t>
      </w:r>
      <w:r w:rsidR="000C05D0">
        <w:t>specifically the regulations requiring new and altered facilities to be accessible to disabled people.</w:t>
      </w:r>
      <w:r w:rsidR="00071411">
        <w:t xml:space="preserve"> </w:t>
      </w:r>
      <w:r w:rsidR="000E0A40">
        <w:t xml:space="preserve">Neither </w:t>
      </w:r>
      <w:r w:rsidR="00F1105B">
        <w:t xml:space="preserve">of the Sixth Circuit </w:t>
      </w:r>
      <w:r w:rsidR="000E0A40">
        <w:t>Concurrence</w:t>
      </w:r>
      <w:r w:rsidR="00F1105B">
        <w:t>s under discussion</w:t>
      </w:r>
      <w:r w:rsidR="000E0A40">
        <w:t xml:space="preserve"> cites to </w:t>
      </w:r>
      <w:r w:rsidR="000E0A40" w:rsidRPr="000E0A40">
        <w:rPr>
          <w:i/>
          <w:iCs/>
        </w:rPr>
        <w:t>Frame</w:t>
      </w:r>
      <w:r w:rsidR="00862217">
        <w:t>.</w:t>
      </w:r>
      <w:r w:rsidR="007A76F5">
        <w:t xml:space="preserve"> While this is perhaps not </w:t>
      </w:r>
      <w:r w:rsidR="00227FAF">
        <w:t xml:space="preserve">ultimately surprising in light of the fact that it is </w:t>
      </w:r>
      <w:r w:rsidR="00E2463C">
        <w:t xml:space="preserve">the decision of a sister circuit – and therefore not controlling – it remains striking that </w:t>
      </w:r>
      <w:r w:rsidR="005E7FD0">
        <w:t xml:space="preserve">neither the majority nor the concurrence in </w:t>
      </w:r>
      <w:r w:rsidR="005E7FD0" w:rsidRPr="001F23F8">
        <w:rPr>
          <w:i/>
          <w:iCs/>
        </w:rPr>
        <w:t>Reinhart</w:t>
      </w:r>
      <w:r w:rsidR="005E7FD0">
        <w:t xml:space="preserve"> discuss</w:t>
      </w:r>
      <w:r w:rsidR="00961711">
        <w:t>es</w:t>
      </w:r>
      <w:r w:rsidR="005E7FD0">
        <w:t xml:space="preserve"> a decision that </w:t>
      </w:r>
      <w:r w:rsidR="0008260B">
        <w:t xml:space="preserve">so closely </w:t>
      </w:r>
      <w:r w:rsidR="00961711">
        <w:t xml:space="preserve">tracks </w:t>
      </w:r>
      <w:r w:rsidR="001F23F8">
        <w:t xml:space="preserve">that case’s </w:t>
      </w:r>
      <w:r w:rsidR="0008260B">
        <w:t xml:space="preserve">underlying facts. </w:t>
      </w:r>
    </w:p>
    <w:p w14:paraId="0F22332A" w14:textId="4BF1C368" w:rsidR="00C42FCB" w:rsidRPr="00A404D8" w:rsidRDefault="00D779B1" w:rsidP="00FA4B31">
      <w:pPr>
        <w:pStyle w:val="Heading2"/>
      </w:pPr>
      <w:r>
        <w:lastRenderedPageBreak/>
        <w:t>The Concurrence</w:t>
      </w:r>
      <w:r w:rsidR="00B34D2F">
        <w:t>s</w:t>
      </w:r>
      <w:r>
        <w:t xml:space="preserve"> Ignore the Whole-Text Canon and Interpret Section 12132 Largely in Isolation. </w:t>
      </w:r>
    </w:p>
    <w:p w14:paraId="071A4AE4" w14:textId="77276FE2" w:rsidR="002D06FD" w:rsidRDefault="007C6315" w:rsidP="00C2028C">
      <w:pPr>
        <w:pStyle w:val="BodyText"/>
      </w:pPr>
      <w:r>
        <w:t xml:space="preserve">As noted above, neither </w:t>
      </w:r>
      <w:r w:rsidR="00B91DB6">
        <w:t>Concurrence</w:t>
      </w:r>
      <w:r>
        <w:t xml:space="preserve"> </w:t>
      </w:r>
      <w:r w:rsidR="00B91258">
        <w:t xml:space="preserve">attempts to analyze Section 12132 in the context of the whole statute. </w:t>
      </w:r>
      <w:r w:rsidR="00C01C99">
        <w:t xml:space="preserve">Neither </w:t>
      </w:r>
      <w:r w:rsidR="007061F8">
        <w:t>opinion</w:t>
      </w:r>
      <w:r w:rsidR="00C01C99">
        <w:t xml:space="preserve"> </w:t>
      </w:r>
      <w:r w:rsidR="00C01C99" w:rsidRPr="005332E9">
        <w:t>cite</w:t>
      </w:r>
      <w:r w:rsidR="00C01C99">
        <w:t>s</w:t>
      </w:r>
      <w:r w:rsidR="00C01C99" w:rsidRPr="005332E9">
        <w:t xml:space="preserve"> to any of </w:t>
      </w:r>
      <w:r w:rsidR="00727DBB" w:rsidRPr="005332E9">
        <w:t xml:space="preserve">Sections </w:t>
      </w:r>
      <w:r w:rsidR="00C01C99">
        <w:t>12134(b), 12134(c), 12201(b), 12201(c), 12204(a), or 12204(b)</w:t>
      </w:r>
      <w:r w:rsidR="007061F8">
        <w:t xml:space="preserve">, </w:t>
      </w:r>
      <w:r w:rsidR="00FC552C">
        <w:t>each</w:t>
      </w:r>
      <w:r w:rsidR="001144B7">
        <w:t xml:space="preserve"> of which either </w:t>
      </w:r>
      <w:r w:rsidR="00FC552C">
        <w:t xml:space="preserve">contains </w:t>
      </w:r>
      <w:r w:rsidR="001144B7">
        <w:t>direct instructions on the interpretation of Section 12132 or incorporate</w:t>
      </w:r>
      <w:r w:rsidR="00FC552C">
        <w:t>s</w:t>
      </w:r>
      <w:r w:rsidR="001144B7">
        <w:t xml:space="preserve"> specific regulations that interpret it.</w:t>
      </w:r>
      <w:r w:rsidR="008A4462">
        <w:t xml:space="preserve"> </w:t>
      </w:r>
      <w:r w:rsidR="008A1C7C">
        <w:t>In place of a whole-text analysis</w:t>
      </w:r>
      <w:r w:rsidR="00931E57">
        <w:t xml:space="preserve">, </w:t>
      </w:r>
      <w:r w:rsidR="00926DA1">
        <w:t>the Concurrences</w:t>
      </w:r>
      <w:r w:rsidR="00931E57">
        <w:t xml:space="preserve"> </w:t>
      </w:r>
      <w:r w:rsidR="0052767B">
        <w:t xml:space="preserve">analyze Section 12132 in isolation, </w:t>
      </w:r>
      <w:r w:rsidR="00931E57">
        <w:t>look</w:t>
      </w:r>
      <w:r w:rsidR="0052767B">
        <w:t>ing</w:t>
      </w:r>
      <w:r w:rsidR="00931E57">
        <w:t xml:space="preserve"> </w:t>
      </w:r>
      <w:r w:rsidR="009967BB">
        <w:t xml:space="preserve">primarily to dictionaries and, as will be explored in later sections, </w:t>
      </w:r>
      <w:r w:rsidR="008A1C7C">
        <w:t xml:space="preserve">other statutes. </w:t>
      </w:r>
    </w:p>
    <w:p w14:paraId="506ABD6B" w14:textId="3D7D4A09" w:rsidR="00607C30" w:rsidRDefault="00241672" w:rsidP="00C2028C">
      <w:pPr>
        <w:pStyle w:val="BodyText"/>
      </w:pPr>
      <w:r>
        <w:t xml:space="preserve">Despite the Chief Justice’s </w:t>
      </w:r>
      <w:r w:rsidRPr="00241672">
        <w:t>instruction</w:t>
      </w:r>
      <w:r>
        <w:t xml:space="preserve"> that “</w:t>
      </w:r>
      <w:r w:rsidR="00117F37">
        <w:t>[o]</w:t>
      </w:r>
      <w:proofErr w:type="spellStart"/>
      <w:r w:rsidRPr="00BF1D60">
        <w:t>ur</w:t>
      </w:r>
      <w:proofErr w:type="spellEnd"/>
      <w:r w:rsidRPr="00BF1D60">
        <w:t xml:space="preserve"> duty</w:t>
      </w:r>
      <w:r w:rsidR="00117F37">
        <w:t xml:space="preserve"> . . . </w:t>
      </w:r>
      <w:r w:rsidRPr="00BF1D60">
        <w:t>is to construe statutes, not isolated provisions</w:t>
      </w:r>
      <w:r w:rsidR="003D54EC">
        <w:t>,</w:t>
      </w:r>
      <w:r w:rsidRPr="00C47831">
        <w:t>”</w:t>
      </w:r>
      <w:r>
        <w:rPr>
          <w:rStyle w:val="FootnoteReference"/>
        </w:rPr>
        <w:footnoteReference w:id="86"/>
      </w:r>
      <w:r w:rsidR="003D54EC">
        <w:t xml:space="preserve"> the heart of </w:t>
      </w:r>
      <w:r w:rsidR="00262B4E">
        <w:t xml:space="preserve">the </w:t>
      </w:r>
      <w:r w:rsidR="00262B4E" w:rsidRPr="00262B4E">
        <w:rPr>
          <w:i/>
          <w:iCs/>
        </w:rPr>
        <w:t>Reinhart</w:t>
      </w:r>
      <w:r w:rsidR="00262B4E">
        <w:t xml:space="preserve"> C</w:t>
      </w:r>
      <w:r w:rsidR="003D54EC">
        <w:t xml:space="preserve">oncurrence is a </w:t>
      </w:r>
      <w:r w:rsidR="003B1FAA">
        <w:t xml:space="preserve">word-by-word, dictionary-based analysis of </w:t>
      </w:r>
      <w:r w:rsidR="00850142">
        <w:t xml:space="preserve">the language of </w:t>
      </w:r>
      <w:r w:rsidR="003B1FAA">
        <w:t>Section 12132 in isolation</w:t>
      </w:r>
      <w:r w:rsidR="00C57CC8">
        <w:t>.</w:t>
      </w:r>
      <w:r w:rsidR="00EA35D5">
        <w:rPr>
          <w:rStyle w:val="FootnoteReference"/>
        </w:rPr>
        <w:footnoteReference w:id="87"/>
      </w:r>
      <w:r w:rsidR="00C57CC8">
        <w:t xml:space="preserve"> </w:t>
      </w:r>
      <w:r w:rsidR="00160987">
        <w:t xml:space="preserve">I don’t think </w:t>
      </w:r>
      <w:r w:rsidR="00850142">
        <w:t>that</w:t>
      </w:r>
      <w:r w:rsidR="00160987">
        <w:t xml:space="preserve"> language – </w:t>
      </w:r>
      <w:r w:rsidR="00850142">
        <w:t xml:space="preserve">even when </w:t>
      </w:r>
      <w:r w:rsidR="00160987">
        <w:t xml:space="preserve">read in isolation from </w:t>
      </w:r>
      <w:r w:rsidR="000B18E4">
        <w:t xml:space="preserve">the remainder of the statute – </w:t>
      </w:r>
      <w:r w:rsidR="00160987">
        <w:t xml:space="preserve">means what </w:t>
      </w:r>
      <w:r w:rsidR="00652FAA">
        <w:t>the Concurrence authors</w:t>
      </w:r>
      <w:r w:rsidR="00160987">
        <w:t xml:space="preserve"> think it means</w:t>
      </w:r>
      <w:r w:rsidR="000B18E4">
        <w:t xml:space="preserve">; even if it did, </w:t>
      </w:r>
      <w:r w:rsidR="007E7379">
        <w:t xml:space="preserve">we are not free to ignore Congress’s explicit instructions on how to construe the </w:t>
      </w:r>
      <w:r w:rsidR="00A362AA">
        <w:t>ADA and its incorporation of specific</w:t>
      </w:r>
      <w:r w:rsidR="007C2BD6">
        <w:t xml:space="preserve"> regulations and standards</w:t>
      </w:r>
      <w:r w:rsidR="00A0624D">
        <w:t xml:space="preserve">. </w:t>
      </w:r>
    </w:p>
    <w:p w14:paraId="39838A92" w14:textId="692EA4B6" w:rsidR="00A0624D" w:rsidRDefault="00CF1B80" w:rsidP="00C2028C">
      <w:pPr>
        <w:pStyle w:val="BodyText"/>
      </w:pPr>
      <w:r>
        <w:t xml:space="preserve">The </w:t>
      </w:r>
      <w:r w:rsidRPr="00CF1B80">
        <w:rPr>
          <w:i/>
          <w:iCs/>
        </w:rPr>
        <w:t>Reinhart</w:t>
      </w:r>
      <w:r>
        <w:t xml:space="preserve"> Concurrence</w:t>
      </w:r>
      <w:r w:rsidR="00652FAA">
        <w:t xml:space="preserve"> divides</w:t>
      </w:r>
      <w:r w:rsidR="006C246A">
        <w:t xml:space="preserve"> </w:t>
      </w:r>
      <w:r w:rsidR="00D2698D">
        <w:t xml:space="preserve">Section 12132 into two </w:t>
      </w:r>
      <w:r w:rsidR="00A3249E">
        <w:t>clauses</w:t>
      </w:r>
      <w:r w:rsidR="00652FAA">
        <w:t xml:space="preserve"> and analyzes each one separately</w:t>
      </w:r>
      <w:r w:rsidR="00184E1E">
        <w:t xml:space="preserve">. In the first, </w:t>
      </w:r>
      <w:r w:rsidR="004600D1">
        <w:t>it</w:t>
      </w:r>
      <w:r w:rsidR="00184E1E">
        <w:t xml:space="preserve"> </w:t>
      </w:r>
      <w:r w:rsidR="006C246A">
        <w:t>makes much of the phrase “by reason of disability” in this passage:</w:t>
      </w:r>
      <w:r w:rsidR="008A4462">
        <w:t xml:space="preserve"> </w:t>
      </w:r>
      <w:r w:rsidR="006C246A">
        <w:t>“</w:t>
      </w:r>
      <w:r w:rsidR="00C60A29" w:rsidRPr="00C60A29">
        <w:t xml:space="preserve">no qualified individual with a disability shall, </w:t>
      </w:r>
      <w:r w:rsidR="00C60A29" w:rsidRPr="00601F3C">
        <w:rPr>
          <w:b/>
          <w:bCs/>
        </w:rPr>
        <w:t>by reason of such disability</w:t>
      </w:r>
      <w:r w:rsidR="00C60A29" w:rsidRPr="00C60A29">
        <w:t>, be excluded from participation in or be denied the benefits of the services, programs, or activities of a public entity</w:t>
      </w:r>
      <w:r w:rsidR="00014988">
        <w:t xml:space="preserve"> . . .</w:t>
      </w:r>
      <w:r w:rsidR="00F86253">
        <w:t>.”</w:t>
      </w:r>
      <w:r w:rsidR="008A4462">
        <w:t xml:space="preserve"> </w:t>
      </w:r>
      <w:r w:rsidR="004600D1">
        <w:t xml:space="preserve">The </w:t>
      </w:r>
      <w:r w:rsidR="006D2303">
        <w:t>opinion asserts</w:t>
      </w:r>
      <w:r w:rsidR="008A7974">
        <w:t xml:space="preserve"> </w:t>
      </w:r>
      <w:r w:rsidR="001752B6">
        <w:t xml:space="preserve">that the highlighted phrase </w:t>
      </w:r>
      <w:r w:rsidR="000E4C4C">
        <w:t xml:space="preserve">requires </w:t>
      </w:r>
      <w:r w:rsidR="000E4C4C">
        <w:lastRenderedPageBreak/>
        <w:t xml:space="preserve">that disability be the </w:t>
      </w:r>
      <w:r w:rsidR="00503B06">
        <w:t xml:space="preserve">announced </w:t>
      </w:r>
      <w:r w:rsidR="000E4C4C">
        <w:t xml:space="preserve">reason for the challenged action and that this, in turn, requires intent. </w:t>
      </w:r>
      <w:r w:rsidR="00FB3C65">
        <w:t xml:space="preserve">It </w:t>
      </w:r>
      <w:r w:rsidR="00693B13">
        <w:t>relies on</w:t>
      </w:r>
      <w:r w:rsidR="00FB3C65">
        <w:t xml:space="preserve"> the definition of “reason” in</w:t>
      </w:r>
      <w:r w:rsidR="00693B13">
        <w:t xml:space="preserve"> </w:t>
      </w:r>
      <w:r w:rsidR="00693B13" w:rsidRPr="0046410A">
        <w:rPr>
          <w:i/>
          <w:iCs/>
        </w:rPr>
        <w:t>Black’s Law Dictionary</w:t>
      </w:r>
      <w:r w:rsidR="00A95980">
        <w:t>:</w:t>
      </w:r>
      <w:r w:rsidR="00693B13">
        <w:t xml:space="preserve"> </w:t>
      </w:r>
      <w:r w:rsidR="00307BE8" w:rsidRPr="000F2804">
        <w:rPr>
          <w:b/>
          <w:bCs/>
        </w:rPr>
        <w:t>“‘[a]n expression or statement given</w:t>
      </w:r>
      <w:r w:rsidR="00307BE8" w:rsidRPr="00307BE8">
        <w:t xml:space="preserve"> by way of explanation or justification; whatever is </w:t>
      </w:r>
      <w:r w:rsidR="00307BE8" w:rsidRPr="000F2804">
        <w:rPr>
          <w:b/>
          <w:bCs/>
        </w:rPr>
        <w:t>supposed or affirmed</w:t>
      </w:r>
      <w:r w:rsidR="00307BE8" w:rsidRPr="00307BE8">
        <w:t xml:space="preserve"> to support a conclusion, inference, or plan of action</w:t>
      </w:r>
      <w:r w:rsidR="00307BE8">
        <w:t>.’”</w:t>
      </w:r>
      <w:r w:rsidR="00307BE8">
        <w:rPr>
          <w:rStyle w:val="FootnoteReference"/>
        </w:rPr>
        <w:footnoteReference w:id="88"/>
      </w:r>
      <w:r w:rsidR="00742B7D">
        <w:t xml:space="preserve"> Though – as this post makes clear – I’m not a fan of limiting statutory interpretation to dictionaries, it’s interesting to note that </w:t>
      </w:r>
      <w:r w:rsidR="001A09A3">
        <w:t xml:space="preserve">the </w:t>
      </w:r>
      <w:r w:rsidR="001A09A3" w:rsidRPr="001A09A3">
        <w:rPr>
          <w:i/>
          <w:iCs/>
        </w:rPr>
        <w:t>Reinhart</w:t>
      </w:r>
      <w:r w:rsidR="001A09A3">
        <w:t xml:space="preserve"> Concurrence</w:t>
      </w:r>
      <w:r w:rsidR="00742B7D">
        <w:t xml:space="preserve"> quotes only the first definition </w:t>
      </w:r>
      <w:r w:rsidR="001A09A3">
        <w:t xml:space="preserve">of “reason” </w:t>
      </w:r>
      <w:r w:rsidR="00742B7D">
        <w:t xml:space="preserve">in </w:t>
      </w:r>
      <w:r w:rsidR="00742B7D" w:rsidRPr="0046410A">
        <w:rPr>
          <w:i/>
          <w:iCs/>
        </w:rPr>
        <w:t>Black’s</w:t>
      </w:r>
      <w:r w:rsidR="00742B7D">
        <w:t xml:space="preserve">, ignoring the </w:t>
      </w:r>
      <w:r w:rsidR="007F2104">
        <w:t>second</w:t>
      </w:r>
      <w:r w:rsidR="00742B7D">
        <w:t>: “</w:t>
      </w:r>
      <w:r w:rsidR="00FE1FFD">
        <w:t>[a]</w:t>
      </w:r>
      <w:r w:rsidR="00742B7D" w:rsidRPr="00742B7D">
        <w:t xml:space="preserve"> ground or cause that explains or accounts for something</w:t>
      </w:r>
      <w:r w:rsidR="00742B7D">
        <w:t>.”</w:t>
      </w:r>
      <w:r w:rsidR="008A4462">
        <w:t xml:space="preserve"> </w:t>
      </w:r>
      <w:r w:rsidR="00FE1FFD">
        <w:t xml:space="preserve">That is, </w:t>
      </w:r>
      <w:r w:rsidR="00FA5ACA">
        <w:t>“</w:t>
      </w:r>
      <w:r w:rsidR="00FE1FFD">
        <w:t>reason</w:t>
      </w:r>
      <w:r w:rsidR="00FA5ACA">
        <w:t>”</w:t>
      </w:r>
      <w:r w:rsidR="00FE1FFD">
        <w:t xml:space="preserve"> does not have to be </w:t>
      </w:r>
      <w:r w:rsidR="00FA5ACA">
        <w:t xml:space="preserve">an </w:t>
      </w:r>
      <w:r w:rsidR="00B7015D">
        <w:t xml:space="preserve">expression or statement intentionally </w:t>
      </w:r>
      <w:r w:rsidR="00581B8D">
        <w:t xml:space="preserve">provided </w:t>
      </w:r>
      <w:r w:rsidR="00B7015D">
        <w:t>as an</w:t>
      </w:r>
      <w:r w:rsidR="00FA5ACA">
        <w:t xml:space="preserve"> explanation</w:t>
      </w:r>
      <w:r w:rsidR="00FE1FFD">
        <w:t xml:space="preserve">; it may simply be </w:t>
      </w:r>
      <w:r w:rsidR="00EB71CA">
        <w:t xml:space="preserve">the </w:t>
      </w:r>
      <w:r w:rsidR="00D84751">
        <w:t>explanation</w:t>
      </w:r>
      <w:r w:rsidR="00EB71CA">
        <w:t xml:space="preserve"> itself</w:t>
      </w:r>
      <w:r w:rsidR="00FE1FFD">
        <w:t xml:space="preserve">. </w:t>
      </w:r>
      <w:r w:rsidR="00972BBF">
        <w:t xml:space="preserve">A </w:t>
      </w:r>
      <w:r w:rsidR="00E77AC7">
        <w:t xml:space="preserve">wheelchair-user </w:t>
      </w:r>
      <w:r w:rsidR="00972BBF">
        <w:t xml:space="preserve">is excluded </w:t>
      </w:r>
      <w:r w:rsidR="00E77AC7">
        <w:t xml:space="preserve">from an inaccessible </w:t>
      </w:r>
      <w:r w:rsidR="00701DB5">
        <w:t xml:space="preserve">public </w:t>
      </w:r>
      <w:r w:rsidR="00E77AC7">
        <w:t xml:space="preserve">building by reason of their disability even if </w:t>
      </w:r>
      <w:r w:rsidR="00EB4CA1">
        <w:t xml:space="preserve">the </w:t>
      </w:r>
      <w:r w:rsidR="00701DB5">
        <w:t xml:space="preserve">public entity in question </w:t>
      </w:r>
      <w:r w:rsidR="00EB4CA1">
        <w:t xml:space="preserve">did not intend that result. </w:t>
      </w:r>
      <w:r w:rsidR="00EB71CA">
        <w:t xml:space="preserve">That is, the </w:t>
      </w:r>
      <w:r w:rsidR="00EC52BB">
        <w:t xml:space="preserve">inaccessibility </w:t>
      </w:r>
      <w:r w:rsidR="00EB71CA">
        <w:t>explain</w:t>
      </w:r>
      <w:r w:rsidR="00EC52BB">
        <w:t>s</w:t>
      </w:r>
      <w:r w:rsidR="00EB71CA">
        <w:t xml:space="preserve"> the exclusion even if</w:t>
      </w:r>
      <w:r w:rsidR="00EC52BB">
        <w:t xml:space="preserve"> the public entity did not </w:t>
      </w:r>
      <w:r w:rsidR="00B96904">
        <w:t xml:space="preserve">“express,” “state,” or </w:t>
      </w:r>
      <w:r w:rsidR="00EC52BB">
        <w:t xml:space="preserve">“give” that explanation. </w:t>
      </w:r>
      <w:r w:rsidR="004D3970">
        <w:t>Similarly with t</w:t>
      </w:r>
      <w:r w:rsidR="000C53E7">
        <w:t>he facially neutral rule “no dogs allowed”</w:t>
      </w:r>
      <w:r w:rsidR="008F2D34">
        <w:t>:</w:t>
      </w:r>
      <w:r w:rsidR="000C53E7">
        <w:t xml:space="preserve"> </w:t>
      </w:r>
      <w:r w:rsidR="004D3970">
        <w:t xml:space="preserve">it </w:t>
      </w:r>
      <w:r w:rsidR="002B2213">
        <w:t xml:space="preserve">explains the exclusion of </w:t>
      </w:r>
      <w:r w:rsidR="000C53E7">
        <w:t>a blind person with a guide dog</w:t>
      </w:r>
      <w:r w:rsidR="00E0016C">
        <w:t xml:space="preserve"> even if, again, the author of the rule did not </w:t>
      </w:r>
      <w:r w:rsidR="0099684B">
        <w:t xml:space="preserve">express or </w:t>
      </w:r>
      <w:r w:rsidR="00E0016C">
        <w:t>intend that result.</w:t>
      </w:r>
      <w:r w:rsidR="00480F38">
        <w:rPr>
          <w:rStyle w:val="FootnoteReference"/>
        </w:rPr>
        <w:footnoteReference w:id="89"/>
      </w:r>
      <w:r w:rsidR="00E0016C">
        <w:t xml:space="preserve"> </w:t>
      </w:r>
    </w:p>
    <w:p w14:paraId="14175485" w14:textId="417D757D" w:rsidR="005602C3" w:rsidRDefault="006B4EFC" w:rsidP="00C2028C">
      <w:pPr>
        <w:pStyle w:val="BodyText"/>
      </w:pPr>
      <w:r>
        <w:t xml:space="preserve">The </w:t>
      </w:r>
      <w:r w:rsidRPr="006B4EFC">
        <w:rPr>
          <w:i/>
          <w:iCs/>
        </w:rPr>
        <w:t>Reinhart</w:t>
      </w:r>
      <w:r>
        <w:t xml:space="preserve"> Concurrence</w:t>
      </w:r>
      <w:r w:rsidR="00AE6758">
        <w:t xml:space="preserve"> then turns to the second clause of Section 12132</w:t>
      </w:r>
      <w:r w:rsidR="005602C3">
        <w:t>:</w:t>
      </w:r>
      <w:r w:rsidR="008A4462">
        <w:t xml:space="preserve"> </w:t>
      </w:r>
      <w:r w:rsidR="005602C3">
        <w:t>“no qualified individual with a disability shall . . .</w:t>
      </w:r>
      <w:r w:rsidR="008A4462">
        <w:t xml:space="preserve"> </w:t>
      </w:r>
      <w:r w:rsidR="005602C3">
        <w:t xml:space="preserve">be subjected to discrimination by any </w:t>
      </w:r>
      <w:r w:rsidR="00E763CF">
        <w:t>[public] entity.”</w:t>
      </w:r>
      <w:r w:rsidR="0080381A">
        <w:t xml:space="preserve"> Again, </w:t>
      </w:r>
      <w:r w:rsidR="00152323">
        <w:t xml:space="preserve">as you’re probably tired of reading by now, a number of other provisions of the ADA’s statutory language </w:t>
      </w:r>
      <w:r w:rsidR="003F2292">
        <w:t>provide crucial sources for the meaning of this clause</w:t>
      </w:r>
      <w:r w:rsidR="00CA4560">
        <w:t>,</w:t>
      </w:r>
      <w:r w:rsidR="00152323">
        <w:t xml:space="preserve"> </w:t>
      </w:r>
      <w:r w:rsidR="00152323">
        <w:lastRenderedPageBreak/>
        <w:t xml:space="preserve">including that it </w:t>
      </w:r>
      <w:r w:rsidR="00C10120">
        <w:t xml:space="preserve">is to </w:t>
      </w:r>
      <w:r w:rsidR="007A32D7">
        <w:t xml:space="preserve">be construed to </w:t>
      </w:r>
      <w:r w:rsidR="00783E19">
        <w:t xml:space="preserve">provide </w:t>
      </w:r>
      <w:r w:rsidR="00EF3869">
        <w:t>“</w:t>
      </w:r>
      <w:r w:rsidR="00783E19">
        <w:t>at least as much protection</w:t>
      </w:r>
      <w:r w:rsidR="003310BA">
        <w:t xml:space="preserve"> </w:t>
      </w:r>
      <w:r w:rsidR="003310BA" w:rsidRPr="003310BA">
        <w:t>as provided by the regulations implementing the Rehabilitation Act</w:t>
      </w:r>
      <w:r w:rsidR="003310BA">
        <w:t>.</w:t>
      </w:r>
      <w:r w:rsidR="00EF3869">
        <w:t>”</w:t>
      </w:r>
      <w:r w:rsidR="00783E19">
        <w:rPr>
          <w:rStyle w:val="FootnoteReference"/>
        </w:rPr>
        <w:footnoteReference w:id="90"/>
      </w:r>
      <w:r w:rsidR="00B114D8">
        <w:t xml:space="preserve"> Ignoring this statutory language, the </w:t>
      </w:r>
      <w:r w:rsidR="00262B4E" w:rsidRPr="00262B4E">
        <w:rPr>
          <w:i/>
          <w:iCs/>
        </w:rPr>
        <w:t>Reinhart</w:t>
      </w:r>
      <w:r w:rsidR="00262B4E">
        <w:t xml:space="preserve"> C</w:t>
      </w:r>
      <w:r w:rsidR="00A26201">
        <w:t>oncurrence</w:t>
      </w:r>
      <w:r w:rsidR="00B114D8">
        <w:t xml:space="preserve"> once again turns to the dictionary, but this time ignores </w:t>
      </w:r>
      <w:r w:rsidR="00B114D8" w:rsidRPr="00A26201">
        <w:rPr>
          <w:i/>
          <w:iCs/>
        </w:rPr>
        <w:t>Black’s</w:t>
      </w:r>
      <w:r w:rsidR="00B114D8">
        <w:t xml:space="preserve"> in favor of </w:t>
      </w:r>
      <w:r w:rsidR="003A21DD" w:rsidRPr="00A26201">
        <w:rPr>
          <w:i/>
          <w:iCs/>
        </w:rPr>
        <w:t>The New Oxford American Dictionary</w:t>
      </w:r>
      <w:r w:rsidR="000C0F8A">
        <w:t xml:space="preserve"> definition of the word “discriminate</w:t>
      </w:r>
      <w:r w:rsidR="003A21DD">
        <w:t>,</w:t>
      </w:r>
      <w:r w:rsidR="000C0F8A">
        <w:t>”</w:t>
      </w:r>
      <w:r w:rsidR="003A21DD">
        <w:t xml:space="preserve"> which, the judge states, “understand[s] ‘discriminat</w:t>
      </w:r>
      <w:r w:rsidR="008219A0">
        <w:t>e</w:t>
      </w:r>
      <w:r w:rsidR="003A21DD">
        <w:t xml:space="preserve">’ to require an </w:t>
      </w:r>
      <w:r w:rsidR="00CD35C3">
        <w:t>‘</w:t>
      </w:r>
      <w:r w:rsidR="003A21DD">
        <w:t xml:space="preserve">unjust or prejudicial </w:t>
      </w:r>
      <w:r w:rsidR="000A1875" w:rsidRPr="000A1875">
        <w:t>distinction in the treatment of</w:t>
      </w:r>
      <w:r w:rsidR="000A1875">
        <w:t>’</w:t>
      </w:r>
      <w:r w:rsidR="000A1875" w:rsidRPr="000A1875">
        <w:t xml:space="preserve"> an individual on the grounds of a protected class</w:t>
      </w:r>
      <w:r w:rsidR="000A1875">
        <w:t>.”</w:t>
      </w:r>
      <w:r w:rsidR="000A1875">
        <w:rPr>
          <w:rStyle w:val="FootnoteReference"/>
        </w:rPr>
        <w:footnoteReference w:id="91"/>
      </w:r>
      <w:r w:rsidR="00721DF0">
        <w:t xml:space="preserve"> </w:t>
      </w:r>
      <w:r w:rsidR="00935008">
        <w:t>Y</w:t>
      </w:r>
      <w:r w:rsidR="000C0F8A">
        <w:t xml:space="preserve">ou might be curious why the </w:t>
      </w:r>
      <w:r w:rsidR="0092538F">
        <w:t>Concurrence</w:t>
      </w:r>
      <w:r w:rsidR="000C0F8A">
        <w:t xml:space="preserve"> skipped </w:t>
      </w:r>
      <w:r w:rsidR="000C0F8A" w:rsidRPr="00D1135B">
        <w:rPr>
          <w:i/>
          <w:iCs/>
        </w:rPr>
        <w:t>Black’s</w:t>
      </w:r>
      <w:r w:rsidR="000C0F8A">
        <w:t xml:space="preserve"> this time.</w:t>
      </w:r>
      <w:r w:rsidR="008A4462">
        <w:t xml:space="preserve"> </w:t>
      </w:r>
      <w:r w:rsidR="000C0F8A">
        <w:t xml:space="preserve">Perhaps because it includes the following definition of “discrimination”: </w:t>
      </w:r>
      <w:r w:rsidR="00FB1678">
        <w:t>“</w:t>
      </w:r>
      <w:r w:rsidR="00FB1678" w:rsidRPr="00FB1678">
        <w:t xml:space="preserve">The </w:t>
      </w:r>
      <w:r w:rsidR="00FB1678" w:rsidRPr="00760582">
        <w:rPr>
          <w:b/>
          <w:bCs/>
        </w:rPr>
        <w:t>effect of a law or established practice</w:t>
      </w:r>
      <w:r w:rsidR="00FB1678" w:rsidRPr="00FB1678">
        <w:t xml:space="preserve"> that confers privileges on a certain class or that denies privileges to a certain class because of race, age, sex, nationality, religion, or disability.</w:t>
      </w:r>
      <w:r w:rsidR="00FB1678">
        <w:t>”</w:t>
      </w:r>
      <w:r w:rsidR="00FB1678">
        <w:rPr>
          <w:rStyle w:val="FootnoteReference"/>
        </w:rPr>
        <w:footnoteReference w:id="92"/>
      </w:r>
      <w:r w:rsidR="00FB1678">
        <w:t xml:space="preserve"> </w:t>
      </w:r>
      <w:r w:rsidR="001438C0">
        <w:t xml:space="preserve">That is, the definition of “discrimination” in the leading legal dictionary </w:t>
      </w:r>
      <w:r w:rsidR="00D93E82">
        <w:t>suggests</w:t>
      </w:r>
      <w:r w:rsidR="001438C0">
        <w:t xml:space="preserve"> that it includes </w:t>
      </w:r>
      <w:r w:rsidR="00D93E82">
        <w:t xml:space="preserve">practices with </w:t>
      </w:r>
      <w:r w:rsidR="001438C0">
        <w:t>a</w:t>
      </w:r>
      <w:r w:rsidR="000C5D61">
        <w:t xml:space="preserve"> discriminatory effect.</w:t>
      </w:r>
    </w:p>
    <w:p w14:paraId="2F95EC60" w14:textId="39E4E8AA" w:rsidR="00112D44" w:rsidRDefault="00C24EE3" w:rsidP="006F7D58">
      <w:pPr>
        <w:pStyle w:val="BodyText"/>
      </w:pPr>
      <w:r>
        <w:t xml:space="preserve">The </w:t>
      </w:r>
      <w:r w:rsidR="0092538F" w:rsidRPr="0092538F">
        <w:rPr>
          <w:i/>
          <w:iCs/>
        </w:rPr>
        <w:t>Reinhart</w:t>
      </w:r>
      <w:r w:rsidR="0092538F">
        <w:t xml:space="preserve"> Concurrence </w:t>
      </w:r>
      <w:r>
        <w:t xml:space="preserve">also quotes </w:t>
      </w:r>
      <w:r w:rsidR="00590631">
        <w:t>a definition of “</w:t>
      </w:r>
      <w:r w:rsidR="00590631" w:rsidRPr="00114059">
        <w:t>discrimination</w:t>
      </w:r>
      <w:r w:rsidR="00590631">
        <w:t xml:space="preserve">” from </w:t>
      </w:r>
      <w:r w:rsidR="00024822">
        <w:t>the</w:t>
      </w:r>
      <w:r w:rsidR="00590631">
        <w:t xml:space="preserve"> dissenting opinion of Justice Thomas</w:t>
      </w:r>
      <w:r w:rsidR="00024822">
        <w:t xml:space="preserve"> in the </w:t>
      </w:r>
      <w:r w:rsidR="00024822" w:rsidRPr="00024822">
        <w:rPr>
          <w:i/>
          <w:iCs/>
        </w:rPr>
        <w:t>Olmstead</w:t>
      </w:r>
      <w:r w:rsidR="00024822">
        <w:t xml:space="preserve"> case</w:t>
      </w:r>
      <w:r w:rsidR="004F3E1E">
        <w:t>,</w:t>
      </w:r>
      <w:r w:rsidR="000843B1">
        <w:t xml:space="preserve"> in which he asserts that “discrimination” requires </w:t>
      </w:r>
      <w:r w:rsidR="00DE58B7">
        <w:t>differential treatment</w:t>
      </w:r>
      <w:r w:rsidR="00D9568E">
        <w:t>.</w:t>
      </w:r>
      <w:r w:rsidR="004F3E1E">
        <w:rPr>
          <w:rStyle w:val="FootnoteReference"/>
        </w:rPr>
        <w:footnoteReference w:id="93"/>
      </w:r>
      <w:r w:rsidR="00590631">
        <w:t xml:space="preserve"> </w:t>
      </w:r>
      <w:r w:rsidR="00D9568E">
        <w:t xml:space="preserve">The </w:t>
      </w:r>
      <w:r w:rsidR="00540CE1">
        <w:rPr>
          <w:i/>
          <w:iCs/>
        </w:rPr>
        <w:t>Olmstead</w:t>
      </w:r>
      <w:r w:rsidR="00540CE1">
        <w:t xml:space="preserve"> majority rejected that </w:t>
      </w:r>
      <w:r w:rsidR="007B7DB9">
        <w:lastRenderedPageBreak/>
        <w:t>definition, holding that</w:t>
      </w:r>
      <w:r w:rsidR="00F32D47">
        <w:t xml:space="preserve"> </w:t>
      </w:r>
      <w:r w:rsidR="0010254A">
        <w:t>“[u]</w:t>
      </w:r>
      <w:proofErr w:type="spellStart"/>
      <w:r w:rsidR="0010254A">
        <w:t>njustified</w:t>
      </w:r>
      <w:proofErr w:type="spellEnd"/>
      <w:r w:rsidR="0010254A">
        <w:t xml:space="preserve"> isolation</w:t>
      </w:r>
      <w:r w:rsidR="008A4462">
        <w:t xml:space="preserve"> </w:t>
      </w:r>
      <w:r w:rsidR="0010254A">
        <w:t>. . . is properly regarded as discrimination based on disability</w:t>
      </w:r>
      <w:r w:rsidR="00206BBB">
        <w:t>,” even in the absence of differential treatment of a comparator class.</w:t>
      </w:r>
      <w:r w:rsidR="008649DB">
        <w:rPr>
          <w:rStyle w:val="FootnoteReference"/>
        </w:rPr>
        <w:footnoteReference w:id="94"/>
      </w:r>
    </w:p>
    <w:p w14:paraId="21E70883" w14:textId="0F111D30" w:rsidR="0017038C" w:rsidRDefault="0017038C" w:rsidP="00C2028C">
      <w:pPr>
        <w:pStyle w:val="BodyText"/>
      </w:pPr>
      <w:r>
        <w:t xml:space="preserve">In sum, the </w:t>
      </w:r>
      <w:r w:rsidRPr="00262B4E">
        <w:rPr>
          <w:i/>
          <w:iCs/>
        </w:rPr>
        <w:t>Reinhart</w:t>
      </w:r>
      <w:r>
        <w:t xml:space="preserve"> Concurrence largely ignores the whole text of the ADA including its express instructions to incorporate </w:t>
      </w:r>
      <w:r w:rsidR="000E577A">
        <w:t>Section 504 regulations</w:t>
      </w:r>
      <w:r w:rsidR="00DC2A64">
        <w:t xml:space="preserve"> and Access Board standards</w:t>
      </w:r>
      <w:r w:rsidR="003969F3">
        <w:t xml:space="preserve">, </w:t>
      </w:r>
      <w:r w:rsidR="000E577A">
        <w:t xml:space="preserve">and </w:t>
      </w:r>
      <w:r w:rsidR="003969F3">
        <w:t xml:space="preserve">to </w:t>
      </w:r>
      <w:r w:rsidR="000E577A">
        <w:t xml:space="preserve">interpret the entire ADA statute to </w:t>
      </w:r>
      <w:r w:rsidR="003969F3">
        <w:t>provide protection</w:t>
      </w:r>
      <w:r w:rsidR="00724FBF">
        <w:t xml:space="preserve"> at least as </w:t>
      </w:r>
      <w:r w:rsidR="006D2A58">
        <w:t>great</w:t>
      </w:r>
      <w:r w:rsidR="00724FBF">
        <w:t xml:space="preserve"> as those </w:t>
      </w:r>
      <w:r w:rsidR="006D2A58">
        <w:t>regulations.</w:t>
      </w:r>
      <w:r w:rsidR="00F35EC4">
        <w:t xml:space="preserve"> It is </w:t>
      </w:r>
      <w:r w:rsidR="0068689B">
        <w:t xml:space="preserve">especially noteworthy that the </w:t>
      </w:r>
      <w:r w:rsidR="002A7417" w:rsidRPr="002A7417">
        <w:rPr>
          <w:i/>
          <w:iCs/>
        </w:rPr>
        <w:t>Reinhart</w:t>
      </w:r>
      <w:r w:rsidR="002A7417">
        <w:t xml:space="preserve"> </w:t>
      </w:r>
      <w:r w:rsidR="0068689B">
        <w:t xml:space="preserve">Concurrence does not mention Section 12134(c) or 12204(a) – both of which mandate, in statutory text, the adoption of </w:t>
      </w:r>
      <w:r w:rsidR="002A7417">
        <w:t xml:space="preserve">standards for physical accessibility – given that the case addresses the accessibility of </w:t>
      </w:r>
      <w:r w:rsidR="00513B66">
        <w:t xml:space="preserve">city streets and sidewalks.  </w:t>
      </w:r>
    </w:p>
    <w:p w14:paraId="25844CF0" w14:textId="0ADB654F" w:rsidR="00ED62E3" w:rsidRDefault="00AD7F43" w:rsidP="00C2028C">
      <w:pPr>
        <w:pStyle w:val="BodyText"/>
      </w:pPr>
      <w:r>
        <w:t xml:space="preserve">When </w:t>
      </w:r>
      <w:r w:rsidR="00E909F1">
        <w:t>the Concurrence</w:t>
      </w:r>
      <w:r w:rsidR="00656AE2">
        <w:t>s</w:t>
      </w:r>
      <w:r w:rsidR="00E909F1">
        <w:t xml:space="preserve"> </w:t>
      </w:r>
      <w:r w:rsidR="006D2A58">
        <w:t xml:space="preserve">do </w:t>
      </w:r>
      <w:r w:rsidR="00D779B1">
        <w:t xml:space="preserve">look to other parts of the ADA, </w:t>
      </w:r>
      <w:r w:rsidR="00656AE2">
        <w:t>they</w:t>
      </w:r>
      <w:r w:rsidR="00D779B1">
        <w:t xml:space="preserve"> draw precise</w:t>
      </w:r>
      <w:r w:rsidR="00B435F3">
        <w:t>ly the</w:t>
      </w:r>
      <w:r w:rsidR="00D779B1">
        <w:t xml:space="preserve"> wrong conclusion</w:t>
      </w:r>
      <w:r w:rsidR="005A6505">
        <w:t xml:space="preserve">. </w:t>
      </w:r>
      <w:r w:rsidR="00597D83">
        <w:t xml:space="preserve">The </w:t>
      </w:r>
      <w:r w:rsidR="00F1279F">
        <w:rPr>
          <w:i/>
          <w:iCs/>
        </w:rPr>
        <w:t>Reinhart</w:t>
      </w:r>
      <w:r w:rsidR="00F1279F">
        <w:t xml:space="preserve"> Concurrence </w:t>
      </w:r>
      <w:r w:rsidR="00EA013D">
        <w:t>contrasts</w:t>
      </w:r>
      <w:r w:rsidR="00E122A9">
        <w:t xml:space="preserve"> Section 12132 </w:t>
      </w:r>
      <w:r w:rsidR="00EA013D">
        <w:t xml:space="preserve">with </w:t>
      </w:r>
      <w:r w:rsidR="00E122A9">
        <w:t xml:space="preserve">Titles I and III of the </w:t>
      </w:r>
      <w:r w:rsidR="00EF45F4">
        <w:t>ADA</w:t>
      </w:r>
      <w:r w:rsidR="00424035">
        <w:t xml:space="preserve">, noting that those two titles </w:t>
      </w:r>
      <w:r w:rsidR="005A43A2">
        <w:t>“</w:t>
      </w:r>
      <w:r w:rsidR="005A43A2" w:rsidRPr="005A43A2">
        <w:t>expressly define discrimination as going beyond intentional acts</w:t>
      </w:r>
      <w:r w:rsidR="005A43A2">
        <w:t>.”</w:t>
      </w:r>
      <w:r w:rsidR="00C97643">
        <w:rPr>
          <w:rStyle w:val="FootnoteReference"/>
        </w:rPr>
        <w:footnoteReference w:id="95"/>
      </w:r>
      <w:r w:rsidR="00F21F18">
        <w:t xml:space="preserve"> </w:t>
      </w:r>
      <w:r w:rsidR="00CF56D2">
        <w:t xml:space="preserve">The conclusion the </w:t>
      </w:r>
      <w:r w:rsidR="00597D83">
        <w:t>opinion</w:t>
      </w:r>
      <w:r w:rsidR="00213992">
        <w:t>s</w:t>
      </w:r>
      <w:r w:rsidR="00CF56D2">
        <w:t xml:space="preserve"> draw from this is that </w:t>
      </w:r>
      <w:r w:rsidR="00C12E28">
        <w:t>Congress intentionally excluded unintentional discrimination from Title II.</w:t>
      </w:r>
      <w:r w:rsidR="004D653B">
        <w:rPr>
          <w:rStyle w:val="FootnoteReference"/>
        </w:rPr>
        <w:footnoteReference w:id="96"/>
      </w:r>
      <w:r w:rsidR="00C83CA1">
        <w:t xml:space="preserve"> </w:t>
      </w:r>
      <w:r w:rsidR="000A54F8">
        <w:t xml:space="preserve">This, again, ignores </w:t>
      </w:r>
      <w:r w:rsidR="00A463DB">
        <w:t xml:space="preserve">the specific statutory language of construction and incorporation that </w:t>
      </w:r>
      <w:r w:rsidR="00C80AD5">
        <w:t>make</w:t>
      </w:r>
      <w:r w:rsidR="00B435F3">
        <w:t>s</w:t>
      </w:r>
      <w:r w:rsidR="00C80AD5">
        <w:t xml:space="preserve"> clear that Section 12132 goes beyond intentional acts. It also ignores a clear explanation </w:t>
      </w:r>
      <w:r w:rsidR="000E5C59">
        <w:t>in the legislative history</w:t>
      </w:r>
      <w:r w:rsidR="00586598">
        <w:t>, discussed below,</w:t>
      </w:r>
      <w:r w:rsidR="000E5C59">
        <w:t xml:space="preserve"> for the differences among Titles I, II, and III, as </w:t>
      </w:r>
      <w:r w:rsidR="003D5040">
        <w:t xml:space="preserve">discussed in Section </w:t>
      </w:r>
      <w:r w:rsidR="00C83CA1">
        <w:t xml:space="preserve">VI below. </w:t>
      </w:r>
    </w:p>
    <w:p w14:paraId="727428D8" w14:textId="5D39548F" w:rsidR="00D63ABD" w:rsidRDefault="00D63ABD" w:rsidP="00C2028C">
      <w:pPr>
        <w:pStyle w:val="BodyText"/>
      </w:pPr>
      <w:r>
        <w:lastRenderedPageBreak/>
        <w:t xml:space="preserve">The </w:t>
      </w:r>
      <w:r w:rsidRPr="00BA5E9C">
        <w:rPr>
          <w:i/>
          <w:iCs/>
        </w:rPr>
        <w:t>Reinhart</w:t>
      </w:r>
      <w:r>
        <w:t xml:space="preserve"> Concurrence also dismisses the </w:t>
      </w:r>
      <w:r w:rsidR="00767DC2">
        <w:t xml:space="preserve">ADA’s finding that </w:t>
      </w:r>
      <w:r w:rsidR="00FA0EE1">
        <w:t xml:space="preserve">“forms of discrimination” against disabled people include </w:t>
      </w:r>
      <w:r w:rsidR="00BA5E9C">
        <w:t xml:space="preserve">both “outright intentional </w:t>
      </w:r>
      <w:r w:rsidR="00BE6DDE">
        <w:t>exclusion</w:t>
      </w:r>
      <w:r w:rsidR="00BA5E9C">
        <w:t>” and other</w:t>
      </w:r>
      <w:r w:rsidR="00AA390D">
        <w:t>,</w:t>
      </w:r>
      <w:r w:rsidR="00BA5E9C">
        <w:t xml:space="preserve"> unintentional</w:t>
      </w:r>
      <w:r w:rsidR="00AA390D">
        <w:t>,</w:t>
      </w:r>
      <w:r w:rsidR="00BA5E9C">
        <w:t xml:space="preserve"> acts,</w:t>
      </w:r>
      <w:r w:rsidR="00BA5E9C">
        <w:rPr>
          <w:rStyle w:val="FootnoteReference"/>
        </w:rPr>
        <w:footnoteReference w:id="97"/>
      </w:r>
      <w:r w:rsidR="00BA5E9C">
        <w:t xml:space="preserve"> asserting that </w:t>
      </w:r>
      <w:r w:rsidR="00520B9E">
        <w:t xml:space="preserve">statutory </w:t>
      </w:r>
      <w:r w:rsidR="00BA5E9C">
        <w:t xml:space="preserve">findings cannot overcome </w:t>
      </w:r>
      <w:r w:rsidR="00A13290">
        <w:t>clear statutory text.</w:t>
      </w:r>
      <w:r w:rsidR="00A13290">
        <w:rPr>
          <w:rStyle w:val="FootnoteReference"/>
        </w:rPr>
        <w:footnoteReference w:id="98"/>
      </w:r>
      <w:r w:rsidR="00520B9E">
        <w:t xml:space="preserve"> But if the text were so clear, the Concurrence would not need to spend so much time with so many dictionaries</w:t>
      </w:r>
      <w:r w:rsidR="00AB27CF">
        <w:t>,</w:t>
      </w:r>
      <w:r w:rsidR="00C85753">
        <w:rPr>
          <w:rStyle w:val="FootnoteReference"/>
        </w:rPr>
        <w:footnoteReference w:id="99"/>
      </w:r>
      <w:r w:rsidR="00AB27CF">
        <w:t xml:space="preserve"> not to mention a Supreme Court dissent. The role of the ADA’s findings</w:t>
      </w:r>
      <w:r w:rsidR="00EE6B7F">
        <w:t xml:space="preserve"> section</w:t>
      </w:r>
      <w:r w:rsidR="00DF1B92">
        <w:t xml:space="preserve"> is similar to – though</w:t>
      </w:r>
      <w:r w:rsidR="000D5AA5">
        <w:t>,</w:t>
      </w:r>
      <w:r w:rsidR="00DF1B92">
        <w:t xml:space="preserve"> given its source, stronger than – </w:t>
      </w:r>
      <w:r w:rsidR="000D5AA5">
        <w:t xml:space="preserve">that of the dictionaries that play such a central role in </w:t>
      </w:r>
      <w:r w:rsidR="00DF1B92">
        <w:t>the Concurrence</w:t>
      </w:r>
      <w:r w:rsidR="001D4268">
        <w:t>s</w:t>
      </w:r>
      <w:r w:rsidR="000D5AA5">
        <w:t xml:space="preserve">: it informs the meaning of the statutory text of Section 12132. </w:t>
      </w:r>
    </w:p>
    <w:p w14:paraId="41EA2398" w14:textId="1FCB6792" w:rsidR="006C0B55" w:rsidRDefault="00ED62E3" w:rsidP="00C2028C">
      <w:pPr>
        <w:pStyle w:val="BodyText"/>
      </w:pPr>
      <w:r>
        <w:t xml:space="preserve">The </w:t>
      </w:r>
      <w:r w:rsidR="006B7939" w:rsidRPr="006B7939">
        <w:rPr>
          <w:i/>
          <w:iCs/>
        </w:rPr>
        <w:t>Reinhart</w:t>
      </w:r>
      <w:r w:rsidR="006B7939">
        <w:t xml:space="preserve"> Concurrence </w:t>
      </w:r>
      <w:r w:rsidR="00AB1B67">
        <w:t xml:space="preserve">also </w:t>
      </w:r>
      <w:r>
        <w:t>discusses Title II’s remedies provision – Section 12133 – at some length, which will be addressed in Section VIII below.</w:t>
      </w:r>
    </w:p>
    <w:p w14:paraId="204061F1" w14:textId="3A86239C" w:rsidR="00DA4F2B" w:rsidRDefault="00DA4F2B" w:rsidP="007607E3">
      <w:pPr>
        <w:pStyle w:val="BodyText"/>
      </w:pPr>
      <w:r>
        <w:t xml:space="preserve">Finally, the </w:t>
      </w:r>
      <w:r w:rsidRPr="00E64511">
        <w:rPr>
          <w:i/>
          <w:iCs/>
        </w:rPr>
        <w:t>Reinhart</w:t>
      </w:r>
      <w:r>
        <w:t xml:space="preserve"> Concurrence observes that the Americans with Disabilities Act Amendments Act of 2008 added Section </w:t>
      </w:r>
      <w:r w:rsidR="009E19F9">
        <w:t xml:space="preserve">12201(h) which </w:t>
      </w:r>
      <w:r w:rsidR="002D7FB2">
        <w:t>provides, “</w:t>
      </w:r>
      <w:r w:rsidR="002D7FB2" w:rsidRPr="002D7FB2">
        <w:t xml:space="preserve">a public entity under </w:t>
      </w:r>
      <w:r w:rsidR="002D7FB2">
        <w:t>[Title]</w:t>
      </w:r>
      <w:r w:rsidR="00071411">
        <w:t xml:space="preserve"> </w:t>
      </w:r>
      <w:r w:rsidR="002D7FB2" w:rsidRPr="002D7FB2">
        <w:t>II</w:t>
      </w:r>
      <w:r w:rsidR="002D7FB2">
        <w:t xml:space="preserve"> . . .</w:t>
      </w:r>
      <w:r w:rsidR="002D7FB2" w:rsidRPr="002D7FB2">
        <w:t xml:space="preserve"> need not provide a reasonable accommodation or a reasonable modification to policies, practices, or procedures to an individual</w:t>
      </w:r>
      <w:r w:rsidR="000F2F83">
        <w:t>”</w:t>
      </w:r>
      <w:r w:rsidR="002D7FB2" w:rsidRPr="002D7FB2">
        <w:t xml:space="preserve"> who </w:t>
      </w:r>
      <w:r w:rsidR="00B32B83">
        <w:t xml:space="preserve">meets only a specific subsection of the </w:t>
      </w:r>
      <w:r w:rsidR="002D7FB2" w:rsidRPr="002D7FB2">
        <w:t xml:space="preserve">definition of </w:t>
      </w:r>
      <w:r w:rsidR="002D7FB2" w:rsidRPr="005C52FB">
        <w:t>disability.</w:t>
      </w:r>
      <w:r w:rsidR="008D50F6" w:rsidRPr="005C52FB">
        <w:t xml:space="preserve"> </w:t>
      </w:r>
      <w:r w:rsidR="00E64511" w:rsidRPr="005C52FB">
        <w:t xml:space="preserve">While </w:t>
      </w:r>
      <w:r w:rsidR="007607E3" w:rsidRPr="005C52FB">
        <w:t xml:space="preserve">the inclusion of Title II in this provision about reasonable </w:t>
      </w:r>
      <w:r w:rsidR="007607E3" w:rsidRPr="005C52FB">
        <w:lastRenderedPageBreak/>
        <w:t>accommodations and modifications suggest</w:t>
      </w:r>
      <w:r w:rsidR="00B97B20">
        <w:t>s</w:t>
      </w:r>
      <w:r w:rsidR="007607E3" w:rsidRPr="005C52FB">
        <w:t xml:space="preserve"> that there is a </w:t>
      </w:r>
      <w:r w:rsidR="00E64511" w:rsidRPr="005C52FB">
        <w:t>right to reasonable accommodations under Title II, the Concurrence</w:t>
      </w:r>
      <w:r w:rsidR="00E64511">
        <w:t xml:space="preserve"> rejects this reading as </w:t>
      </w:r>
      <w:r w:rsidR="00060A17">
        <w:t xml:space="preserve">contrary to the textual analysis it has just performed, and notes </w:t>
      </w:r>
      <w:r w:rsidR="00CE3368">
        <w:t>dramatically</w:t>
      </w:r>
      <w:r w:rsidR="00E77C46">
        <w:t xml:space="preserve"> but accurately</w:t>
      </w:r>
      <w:r w:rsidR="00B47CE9">
        <w:t xml:space="preserve"> that Section 12201(h) “</w:t>
      </w:r>
      <w:r w:rsidR="00B47CE9" w:rsidRPr="00B47CE9">
        <w:t>is a strange place for Congress to massively expand state and local exposure to private lawsuits under Title II</w:t>
      </w:r>
      <w:r w:rsidR="00B47CE9">
        <w:t>.”</w:t>
      </w:r>
      <w:r w:rsidR="00B47CE9">
        <w:rPr>
          <w:rStyle w:val="FootnoteReference"/>
        </w:rPr>
        <w:footnoteReference w:id="100"/>
      </w:r>
      <w:r w:rsidR="00931D89">
        <w:t xml:space="preserve"> </w:t>
      </w:r>
      <w:r w:rsidR="00CE3368">
        <w:t>I suppose it would be strange if</w:t>
      </w:r>
      <w:r w:rsidR="00071411">
        <w:t xml:space="preserve"> </w:t>
      </w:r>
      <w:r w:rsidR="007607E3">
        <w:t xml:space="preserve">Section </w:t>
      </w:r>
      <w:r w:rsidR="00CE3368">
        <w:t xml:space="preserve">12201(h) </w:t>
      </w:r>
      <w:r w:rsidR="00D21F03">
        <w:t xml:space="preserve">were a massive expansion rather than a simple recognition of </w:t>
      </w:r>
      <w:r w:rsidR="00317547">
        <w:t xml:space="preserve">the </w:t>
      </w:r>
      <w:r w:rsidR="003F5A7D">
        <w:t>consistent interpretation of Section 12132 and Section 504</w:t>
      </w:r>
      <w:r w:rsidR="008439C6">
        <w:t xml:space="preserve"> over the preceding decades</w:t>
      </w:r>
      <w:r w:rsidR="003F5A7D">
        <w:t xml:space="preserve">. </w:t>
      </w:r>
    </w:p>
    <w:p w14:paraId="3771156C" w14:textId="48F28A70" w:rsidR="00811663" w:rsidRPr="00426C19" w:rsidRDefault="00A00D2C" w:rsidP="00FA4B31">
      <w:pPr>
        <w:pStyle w:val="Heading1"/>
      </w:pPr>
      <w:bookmarkStart w:id="4" w:name="_The_Concurrences_Ignore_1"/>
      <w:bookmarkEnd w:id="4"/>
      <w:r>
        <w:t xml:space="preserve">The Concurrences Ignore </w:t>
      </w:r>
      <w:r w:rsidR="00811663" w:rsidRPr="00426C19">
        <w:t>Legislative History</w:t>
      </w:r>
      <w:r w:rsidR="00CF0BEC">
        <w:t>.</w:t>
      </w:r>
    </w:p>
    <w:p w14:paraId="084FAECC" w14:textId="0083CCED" w:rsidR="00811663" w:rsidRPr="00811663" w:rsidRDefault="00811663" w:rsidP="00C2028C">
      <w:pPr>
        <w:pStyle w:val="BodyText"/>
      </w:pPr>
      <w:r w:rsidRPr="00811663">
        <w:t xml:space="preserve">The legislative history of the ADA demonstrates that “discrimination,” as used in </w:t>
      </w:r>
      <w:r w:rsidR="000E5C59" w:rsidRPr="00811663">
        <w:t xml:space="preserve">Section </w:t>
      </w:r>
      <w:r w:rsidRPr="00811663">
        <w:t xml:space="preserve">12132, includes </w:t>
      </w:r>
      <w:r w:rsidR="00691CFB">
        <w:t>unintentional</w:t>
      </w:r>
      <w:r w:rsidRPr="00811663">
        <w:t xml:space="preserve"> discrimination.</w:t>
      </w:r>
      <w:r w:rsidR="003D2219">
        <w:t xml:space="preserve"> </w:t>
      </w:r>
    </w:p>
    <w:p w14:paraId="73F18FE3" w14:textId="174287C4" w:rsidR="00811663" w:rsidRPr="00811663" w:rsidRDefault="00811663" w:rsidP="00C2028C">
      <w:pPr>
        <w:pStyle w:val="BodyText"/>
      </w:pPr>
      <w:r w:rsidRPr="00811663">
        <w:t xml:space="preserve">Judge </w:t>
      </w:r>
      <w:proofErr w:type="spellStart"/>
      <w:r w:rsidRPr="00811663">
        <w:t>Readler</w:t>
      </w:r>
      <w:proofErr w:type="spellEnd"/>
      <w:r w:rsidRPr="00811663">
        <w:t xml:space="preserve">, in his </w:t>
      </w:r>
      <w:r w:rsidRPr="00262B4E">
        <w:rPr>
          <w:i/>
          <w:iCs/>
        </w:rPr>
        <w:t>Reinhart</w:t>
      </w:r>
      <w:r w:rsidRPr="00811663">
        <w:t xml:space="preserve"> concurrence, </w:t>
      </w:r>
      <w:r w:rsidR="00CD258E">
        <w:t>disparages</w:t>
      </w:r>
      <w:r w:rsidR="00CD258E" w:rsidRPr="00811663">
        <w:t xml:space="preserve"> </w:t>
      </w:r>
      <w:r w:rsidRPr="00811663">
        <w:t>legislative history as “massively disfavored in modern jurisprudence”</w:t>
      </w:r>
      <w:r w:rsidRPr="00811663">
        <w:rPr>
          <w:vertAlign w:val="superscript"/>
        </w:rPr>
        <w:footnoteReference w:id="101"/>
      </w:r>
      <w:r w:rsidRPr="00811663">
        <w:t xml:space="preserve"> and, citing himself, “all but discontinued</w:t>
      </w:r>
      <w:r w:rsidR="003F2FBD">
        <w:t>.</w:t>
      </w:r>
      <w:r w:rsidRPr="00811663">
        <w:t>”</w:t>
      </w:r>
      <w:r w:rsidRPr="00811663">
        <w:rPr>
          <w:vertAlign w:val="superscript"/>
        </w:rPr>
        <w:footnoteReference w:id="102"/>
      </w:r>
      <w:r w:rsidRPr="00811663">
        <w:t xml:space="preserve"> The Supreme Court has made clear the obvious:</w:t>
      </w:r>
      <w:r w:rsidR="003D2219">
        <w:t xml:space="preserve"> </w:t>
      </w:r>
      <w:r w:rsidRPr="00811663">
        <w:t>“legislative history is not the law,”</w:t>
      </w:r>
      <w:r w:rsidRPr="00811663">
        <w:rPr>
          <w:vertAlign w:val="superscript"/>
        </w:rPr>
        <w:footnoteReference w:id="103"/>
      </w:r>
      <w:r w:rsidRPr="00811663">
        <w:t xml:space="preserve"> but as Scalia and Garner explain</w:t>
      </w:r>
      <w:r w:rsidR="00507B09">
        <w:t xml:space="preserve"> in </w:t>
      </w:r>
      <w:r w:rsidR="00507B09">
        <w:rPr>
          <w:i/>
          <w:iCs/>
        </w:rPr>
        <w:t>Reading Law</w:t>
      </w:r>
      <w:r w:rsidRPr="00811663">
        <w:t>, it is perfectly acceptable to use legislative history to “establish[ ] linguistic usage – showing that a particular word or phrase is capable of bearing a particular meaning.”</w:t>
      </w:r>
      <w:r w:rsidRPr="00811663">
        <w:rPr>
          <w:vertAlign w:val="superscript"/>
        </w:rPr>
        <w:footnoteReference w:id="104"/>
      </w:r>
      <w:r w:rsidRPr="00811663">
        <w:t xml:space="preserve"> Used in this way, “it is no more forbidden (though no more persuasive)” than a dictionary,</w:t>
      </w:r>
      <w:r w:rsidRPr="00811663">
        <w:rPr>
          <w:vertAlign w:val="superscript"/>
        </w:rPr>
        <w:footnoteReference w:id="105"/>
      </w:r>
      <w:r w:rsidRPr="00811663">
        <w:t xml:space="preserve"> </w:t>
      </w:r>
      <w:r w:rsidR="005B2887">
        <w:t xml:space="preserve">the </w:t>
      </w:r>
      <w:r w:rsidRPr="00811663">
        <w:t xml:space="preserve">preferred extra-textual source </w:t>
      </w:r>
      <w:r w:rsidR="00E8581C">
        <w:t xml:space="preserve">in the </w:t>
      </w:r>
      <w:r w:rsidR="00E8581C" w:rsidRPr="00E8581C">
        <w:rPr>
          <w:i/>
          <w:iCs/>
        </w:rPr>
        <w:t>Reinhart</w:t>
      </w:r>
      <w:r w:rsidR="00E8581C">
        <w:t xml:space="preserve"> and </w:t>
      </w:r>
      <w:r w:rsidR="00E8581C" w:rsidRPr="00E8581C">
        <w:rPr>
          <w:i/>
          <w:iCs/>
        </w:rPr>
        <w:t>Booth</w:t>
      </w:r>
      <w:r w:rsidR="00E8581C">
        <w:t xml:space="preserve"> Concurrences.</w:t>
      </w:r>
    </w:p>
    <w:p w14:paraId="1529F81F" w14:textId="3973104A" w:rsidR="00811663" w:rsidRPr="00811663" w:rsidRDefault="00811663" w:rsidP="00C2028C">
      <w:pPr>
        <w:pStyle w:val="BodyText"/>
      </w:pPr>
      <w:r w:rsidRPr="00811663">
        <w:lastRenderedPageBreak/>
        <w:t>It is beyond the scope of this post to fully explore the role of legislative history in statutory analysis, but I have always been struck by the different roles it plays for originalists: they seem happy to rely on their views of the views of the 18</w:t>
      </w:r>
      <w:r w:rsidR="00392648">
        <w:t>th</w:t>
      </w:r>
      <w:r w:rsidRPr="00811663">
        <w:t xml:space="preserve"> century drafters of the </w:t>
      </w:r>
      <w:r w:rsidR="00B01ECF" w:rsidRPr="00811663">
        <w:t>Constitution</w:t>
      </w:r>
      <w:r w:rsidRPr="00811663">
        <w:t xml:space="preserve">, but resist mightily reliance on the </w:t>
      </w:r>
      <w:r w:rsidR="00B01ECF">
        <w:t xml:space="preserve">expressed </w:t>
      </w:r>
      <w:r w:rsidRPr="00811663">
        <w:t>views of 2</w:t>
      </w:r>
      <w:r w:rsidR="00392648">
        <w:t>0th</w:t>
      </w:r>
      <w:r w:rsidRPr="00811663">
        <w:t xml:space="preserve"> or 21</w:t>
      </w:r>
      <w:r w:rsidR="00392648">
        <w:t>st</w:t>
      </w:r>
      <w:r w:rsidRPr="00811663">
        <w:t xml:space="preserve"> century statutory drafters. Luckily a Harvard Law student wrote a note exploring the “paradox” that “while the Court</w:t>
      </w:r>
      <w:r w:rsidR="00D4661B">
        <w:t>’</w:t>
      </w:r>
      <w:r w:rsidRPr="00811663">
        <w:t xml:space="preserve">s textualist-originalists use legislative history to find </w:t>
      </w:r>
      <w:r w:rsidRPr="00811663">
        <w:rPr>
          <w:i/>
          <w:iCs/>
        </w:rPr>
        <w:t>constitutional</w:t>
      </w:r>
      <w:r w:rsidRPr="00811663">
        <w:t xml:space="preserve"> meaning, the same Justices reject legislative history in finding </w:t>
      </w:r>
      <w:r w:rsidRPr="00811663">
        <w:rPr>
          <w:i/>
          <w:iCs/>
        </w:rPr>
        <w:t>statutory</w:t>
      </w:r>
      <w:r w:rsidRPr="00811663">
        <w:t xml:space="preserve"> meaning.</w:t>
      </w:r>
      <w:r w:rsidRPr="00811663">
        <w:rPr>
          <w:vertAlign w:val="superscript"/>
        </w:rPr>
        <w:footnoteReference w:id="106"/>
      </w:r>
      <w:r w:rsidRPr="00811663">
        <w:t xml:space="preserve"> Highly recommend. </w:t>
      </w:r>
    </w:p>
    <w:p w14:paraId="06206C19" w14:textId="7B546D46" w:rsidR="00811663" w:rsidRPr="00811663" w:rsidRDefault="00811663" w:rsidP="00C2028C">
      <w:pPr>
        <w:pStyle w:val="BodyText"/>
      </w:pPr>
      <w:r w:rsidRPr="00811663">
        <w:t xml:space="preserve">Ultimately, the task we face is to figure out what actions fall within the definition of “discrimination” in </w:t>
      </w:r>
      <w:r w:rsidR="00D05D77">
        <w:t>Section 12132</w:t>
      </w:r>
      <w:r w:rsidRPr="00811663">
        <w:t xml:space="preserve">. As such, the legislative history provides valuable insight – and demonstrates that that word includes both intentional and unintentional discrimination. </w:t>
      </w:r>
    </w:p>
    <w:p w14:paraId="6C98B9E7" w14:textId="74873285" w:rsidR="006F4F05" w:rsidRDefault="002F6151" w:rsidP="00D21AB4">
      <w:pPr>
        <w:pStyle w:val="BodyText"/>
      </w:pPr>
      <w:r>
        <w:t xml:space="preserve">In the ADA’s legislative history, </w:t>
      </w:r>
      <w:r w:rsidR="00811663" w:rsidRPr="00811663">
        <w:t>Congress explained that the purpose of Title II was to “make applicable the prohibition against discrimination on the basis of disability, currently set out in regulations implementing section 504 of the Rehabilitation Act of 1973, to all programs, activities, and services” of state and local government.</w:t>
      </w:r>
      <w:r w:rsidR="00811663" w:rsidRPr="00811663">
        <w:rPr>
          <w:vertAlign w:val="superscript"/>
        </w:rPr>
        <w:footnoteReference w:id="107"/>
      </w:r>
      <w:r w:rsidR="00811663" w:rsidRPr="00811663">
        <w:t xml:space="preserve"> </w:t>
      </w:r>
      <w:r w:rsidR="00940C26">
        <w:t xml:space="preserve">And, crucially, </w:t>
      </w:r>
      <w:r w:rsidR="00211F39">
        <w:t>“</w:t>
      </w:r>
      <w:r w:rsidR="006F4F05" w:rsidRPr="00811663">
        <w:t>Section 504 recognize</w:t>
      </w:r>
      <w:r w:rsidR="001F4C42">
        <w:t>[</w:t>
      </w:r>
      <w:r w:rsidR="00CB7A47">
        <w:t>d</w:t>
      </w:r>
      <w:r w:rsidR="001F4C42">
        <w:t>]</w:t>
      </w:r>
      <w:r w:rsidR="006F4F05" w:rsidRPr="00811663">
        <w:t xml:space="preserve"> that discrimination results from actions or inactions, and that discrimination occurs by effect as well as by intent or design.”</w:t>
      </w:r>
      <w:r w:rsidR="006F4F05" w:rsidRPr="00811663">
        <w:rPr>
          <w:vertAlign w:val="superscript"/>
        </w:rPr>
        <w:footnoteReference w:id="108"/>
      </w:r>
      <w:r w:rsidR="006F4F05" w:rsidRPr="00811663">
        <w:t xml:space="preserve"> </w:t>
      </w:r>
    </w:p>
    <w:p w14:paraId="24DF9C5A" w14:textId="44891E4A" w:rsidR="00811663" w:rsidRPr="00811663" w:rsidRDefault="00D21AB4" w:rsidP="0097658E">
      <w:pPr>
        <w:pStyle w:val="BodyText"/>
      </w:pPr>
      <w:r>
        <w:t xml:space="preserve">The legislative history </w:t>
      </w:r>
      <w:r w:rsidR="00F86DE2">
        <w:t>also</w:t>
      </w:r>
      <w:r w:rsidR="00811663" w:rsidRPr="00811663">
        <w:t xml:space="preserve"> explained</w:t>
      </w:r>
      <w:r w:rsidR="005D1A61">
        <w:t xml:space="preserve"> why Title</w:t>
      </w:r>
      <w:r w:rsidR="001419CC">
        <w:t xml:space="preserve"> II differs from Titles I and III</w:t>
      </w:r>
      <w:r w:rsidR="004A2C4C">
        <w:t>:</w:t>
      </w:r>
      <w:r w:rsidR="001419CC">
        <w:t xml:space="preserve"> </w:t>
      </w:r>
    </w:p>
    <w:p w14:paraId="317DF50C" w14:textId="09F95186" w:rsidR="00811663" w:rsidRPr="00811663" w:rsidRDefault="00811663" w:rsidP="0081423F">
      <w:pPr>
        <w:spacing w:line="240" w:lineRule="auto"/>
        <w:ind w:left="720"/>
      </w:pPr>
      <w:r w:rsidRPr="00811663">
        <w:lastRenderedPageBreak/>
        <w:t xml:space="preserve">The Committee has chosen not to list all the types of actions that are included within the term “discrimination”, as was done in titles I and III, because this title essentially simply extends the anti-discrimination prohibition embodied in section 504 to all actions of state and local governments. The Committee intends, however, that the </w:t>
      </w:r>
      <w:r w:rsidRPr="00811663">
        <w:rPr>
          <w:b/>
          <w:bCs/>
        </w:rPr>
        <w:t xml:space="preserve">forms of discrimination prohibited by section </w:t>
      </w:r>
      <w:r w:rsidR="00BE7910">
        <w:rPr>
          <w:b/>
          <w:bCs/>
        </w:rPr>
        <w:t>[12132]</w:t>
      </w:r>
      <w:r w:rsidRPr="00811663">
        <w:rPr>
          <w:b/>
          <w:bCs/>
        </w:rPr>
        <w:t xml:space="preserve"> be identical to those set out in the applicable provisions of titles I and III of this legislation. Thus, for example, the construction of “discrimination” set forth in section </w:t>
      </w:r>
      <w:r w:rsidR="002713B4">
        <w:rPr>
          <w:b/>
          <w:bCs/>
        </w:rPr>
        <w:t>[</w:t>
      </w:r>
      <w:r w:rsidR="00737B0D">
        <w:rPr>
          <w:b/>
          <w:bCs/>
        </w:rPr>
        <w:t>12112(b) and (c)]</w:t>
      </w:r>
      <w:r w:rsidRPr="00811663">
        <w:rPr>
          <w:b/>
          <w:bCs/>
        </w:rPr>
        <w:t xml:space="preserve"> and section </w:t>
      </w:r>
      <w:r w:rsidR="00B60F37">
        <w:rPr>
          <w:b/>
          <w:bCs/>
        </w:rPr>
        <w:t>[12182(b)]</w:t>
      </w:r>
      <w:r w:rsidRPr="00811663">
        <w:rPr>
          <w:b/>
          <w:bCs/>
        </w:rPr>
        <w:t xml:space="preserve"> should be incorporated in the regulations implementing this title</w:t>
      </w:r>
      <w:r w:rsidRPr="00811663">
        <w:t xml:space="preserve">. In addition, however, section </w:t>
      </w:r>
      <w:r w:rsidR="00B60F37">
        <w:t>[12134]</w:t>
      </w:r>
      <w:r w:rsidRPr="00811663">
        <w:t xml:space="preserve"> also requires that regulations issued to implement this section be consistent with regulations issued under section 504. Thus, the requirements of those regulations apply as well, including any requirements such as program access that go beyond titles I and III.</w:t>
      </w:r>
      <w:r w:rsidRPr="00811663">
        <w:rPr>
          <w:vertAlign w:val="superscript"/>
        </w:rPr>
        <w:footnoteReference w:id="109"/>
      </w:r>
    </w:p>
    <w:p w14:paraId="00FDF5CB" w14:textId="60A6A2EF" w:rsidR="00054B71" w:rsidRPr="00811663" w:rsidRDefault="006731F2" w:rsidP="00426CBD">
      <w:pPr>
        <w:pStyle w:val="BodyText"/>
        <w:ind w:firstLine="0"/>
      </w:pPr>
      <w:r>
        <w:t xml:space="preserve">This </w:t>
      </w:r>
      <w:r w:rsidR="00DE5CC3">
        <w:t xml:space="preserve">is directly contrary to the </w:t>
      </w:r>
      <w:r w:rsidR="00182469">
        <w:t>argument</w:t>
      </w:r>
      <w:r w:rsidR="00DE5CC3">
        <w:t xml:space="preserve"> in the </w:t>
      </w:r>
      <w:r w:rsidR="00DE5CC3" w:rsidRPr="00426CBD">
        <w:rPr>
          <w:i/>
          <w:iCs/>
        </w:rPr>
        <w:t>Reinhart</w:t>
      </w:r>
      <w:r w:rsidR="00DE5CC3">
        <w:t xml:space="preserve"> Concurrence that the differences among Titles I, II, and III of the ADA </w:t>
      </w:r>
      <w:r w:rsidR="009F2FCB">
        <w:t>require the conclusion that Title II did not include forms of discrimination listed in Title I or Title III.</w:t>
      </w:r>
      <w:r w:rsidR="009F2FCB">
        <w:rPr>
          <w:rStyle w:val="FootnoteReference"/>
        </w:rPr>
        <w:footnoteReference w:id="110"/>
      </w:r>
      <w:r w:rsidR="00426CBD">
        <w:t xml:space="preserve"> It also demonstrates the </w:t>
      </w:r>
      <w:r w:rsidR="004D173D">
        <w:t xml:space="preserve">broad reach </w:t>
      </w:r>
      <w:r w:rsidR="00426CBD">
        <w:t xml:space="preserve">of Title II, as </w:t>
      </w:r>
      <w:r w:rsidR="00841028">
        <w:t>Section 12182(b)</w:t>
      </w:r>
      <w:r w:rsidR="00811663" w:rsidRPr="00811663">
        <w:t xml:space="preserve"> </w:t>
      </w:r>
      <w:r w:rsidR="006371B8">
        <w:t xml:space="preserve">– the Title III provision referenced in the passage above – </w:t>
      </w:r>
      <w:r w:rsidR="00811663" w:rsidRPr="00811663">
        <w:t xml:space="preserve">spells out in statutory language most of the requirements that appear in </w:t>
      </w:r>
      <w:r w:rsidR="00841028">
        <w:t xml:space="preserve">the DOJ </w:t>
      </w:r>
      <w:r w:rsidR="00811663" w:rsidRPr="00811663">
        <w:t>regulations</w:t>
      </w:r>
      <w:r w:rsidR="00841028">
        <w:t xml:space="preserve"> implementing Section 12132</w:t>
      </w:r>
      <w:r w:rsidR="00811663" w:rsidRPr="00811663">
        <w:t>,</w:t>
      </w:r>
      <w:r w:rsidR="00811663" w:rsidRPr="00811663">
        <w:rPr>
          <w:vertAlign w:val="superscript"/>
        </w:rPr>
        <w:footnoteReference w:id="111"/>
      </w:r>
      <w:r w:rsidR="00811663" w:rsidRPr="00811663">
        <w:t xml:space="preserve"> including requirements of </w:t>
      </w:r>
      <w:r w:rsidR="005A64D1">
        <w:t>reasonable modifications,</w:t>
      </w:r>
      <w:r w:rsidR="005A64D1">
        <w:rPr>
          <w:rStyle w:val="FootnoteReference"/>
        </w:rPr>
        <w:footnoteReference w:id="112"/>
      </w:r>
      <w:r w:rsidR="005A64D1">
        <w:t xml:space="preserve"> </w:t>
      </w:r>
      <w:r w:rsidR="00811663" w:rsidRPr="00811663">
        <w:t>integration</w:t>
      </w:r>
      <w:r w:rsidR="003B7383">
        <w:t>,</w:t>
      </w:r>
      <w:r w:rsidR="00811663" w:rsidRPr="00811663">
        <w:rPr>
          <w:vertAlign w:val="superscript"/>
        </w:rPr>
        <w:footnoteReference w:id="113"/>
      </w:r>
      <w:r w:rsidR="00811663" w:rsidRPr="00811663">
        <w:t xml:space="preserve"> and physical accessibility.</w:t>
      </w:r>
      <w:r w:rsidR="00811663" w:rsidRPr="00811663">
        <w:rPr>
          <w:vertAlign w:val="superscript"/>
        </w:rPr>
        <w:footnoteReference w:id="114"/>
      </w:r>
      <w:r w:rsidR="00811663" w:rsidRPr="00811663">
        <w:t xml:space="preserve"> Indeed, the </w:t>
      </w:r>
      <w:r w:rsidR="00F1164A">
        <w:t xml:space="preserve">passage </w:t>
      </w:r>
      <w:r w:rsidR="00811663" w:rsidRPr="00811663">
        <w:t>above continues: “For example, under this title, local and state governments are required to provide curb cuts on public streets.”</w:t>
      </w:r>
      <w:r w:rsidR="00811663" w:rsidRPr="00811663">
        <w:rPr>
          <w:vertAlign w:val="superscript"/>
        </w:rPr>
        <w:footnoteReference w:id="115"/>
      </w:r>
      <w:r w:rsidR="00811663" w:rsidRPr="00811663">
        <w:t xml:space="preserve"> </w:t>
      </w:r>
      <w:r w:rsidR="003B7D2B">
        <w:t xml:space="preserve">The legislative history </w:t>
      </w:r>
      <w:r w:rsidR="00626E63">
        <w:t xml:space="preserve">makes clear that </w:t>
      </w:r>
      <w:r w:rsidR="00FC5AFD">
        <w:t xml:space="preserve">Title II addresses the accessibility </w:t>
      </w:r>
      <w:r w:rsidR="00FC5AFD">
        <w:lastRenderedPageBreak/>
        <w:t xml:space="preserve">of </w:t>
      </w:r>
      <w:r w:rsidR="00E474D9">
        <w:t xml:space="preserve">city </w:t>
      </w:r>
      <w:r w:rsidR="00811663" w:rsidRPr="00811663">
        <w:t>streets</w:t>
      </w:r>
      <w:r w:rsidR="00E474D9">
        <w:t xml:space="preserve">, </w:t>
      </w:r>
      <w:r w:rsidR="00811663" w:rsidRPr="00811663">
        <w:t xml:space="preserve">yet all of the arguments in </w:t>
      </w:r>
      <w:r w:rsidR="00FC1078">
        <w:t xml:space="preserve">the </w:t>
      </w:r>
      <w:r w:rsidR="00FC1078" w:rsidRPr="00FC1078">
        <w:rPr>
          <w:i/>
          <w:iCs/>
        </w:rPr>
        <w:t>Reinhart</w:t>
      </w:r>
      <w:r w:rsidR="00811663" w:rsidRPr="00811663">
        <w:t xml:space="preserve"> </w:t>
      </w:r>
      <w:r w:rsidR="00FC1078">
        <w:t>C</w:t>
      </w:r>
      <w:r w:rsidR="00811663" w:rsidRPr="00811663">
        <w:t>oncurrence are mustered to prove the opposite.</w:t>
      </w:r>
      <w:r w:rsidR="003C1149">
        <w:t xml:space="preserve"> </w:t>
      </w:r>
    </w:p>
    <w:p w14:paraId="2E75B436" w14:textId="6B0E2C02" w:rsidR="00B228D7" w:rsidRDefault="00F52DC3" w:rsidP="00FA4B31">
      <w:pPr>
        <w:pStyle w:val="Heading1"/>
      </w:pPr>
      <w:bookmarkStart w:id="5" w:name="_The_Concurrences_Ignore_2"/>
      <w:bookmarkEnd w:id="5"/>
      <w:r>
        <w:t xml:space="preserve">The Concurrences Ignore </w:t>
      </w:r>
      <w:r w:rsidR="00572E46">
        <w:t>Forty</w:t>
      </w:r>
      <w:r w:rsidR="00A01A0D">
        <w:t xml:space="preserve"> Years of </w:t>
      </w:r>
      <w:r w:rsidR="007C64D6">
        <w:t xml:space="preserve">Supreme Court Precedent and </w:t>
      </w:r>
      <w:r w:rsidR="00A01A0D">
        <w:t>Lower Court Analysis</w:t>
      </w:r>
      <w:r w:rsidR="0067667C">
        <w:t>.</w:t>
      </w:r>
    </w:p>
    <w:p w14:paraId="4F36DF8E" w14:textId="12CAC3C8" w:rsidR="005E466A" w:rsidRPr="00337C40" w:rsidRDefault="005E466A" w:rsidP="00FA4B31">
      <w:pPr>
        <w:pStyle w:val="Heading2"/>
        <w:numPr>
          <w:ilvl w:val="0"/>
          <w:numId w:val="19"/>
        </w:numPr>
        <w:rPr>
          <w:i/>
          <w:iCs/>
        </w:rPr>
      </w:pPr>
      <w:r w:rsidRPr="00337C40">
        <w:rPr>
          <w:i/>
          <w:iCs/>
        </w:rPr>
        <w:t>Alexander v. Choate</w:t>
      </w:r>
      <w:r w:rsidR="0067667C">
        <w:rPr>
          <w:i/>
          <w:iCs/>
        </w:rPr>
        <w:t>.</w:t>
      </w:r>
    </w:p>
    <w:p w14:paraId="47BB57DC" w14:textId="7A01C643" w:rsidR="00F508E7" w:rsidRDefault="00D167A2" w:rsidP="00C2028C">
      <w:pPr>
        <w:pStyle w:val="BodyText"/>
      </w:pPr>
      <w:r>
        <w:t xml:space="preserve">One of the earliest Supreme Court cases interpreting Section 504 </w:t>
      </w:r>
      <w:r w:rsidR="00472EA9">
        <w:t xml:space="preserve">– the statute setting the </w:t>
      </w:r>
      <w:r w:rsidR="002807B6">
        <w:t>floor for the protections of Section 12132</w:t>
      </w:r>
      <w:r w:rsidR="002807B6">
        <w:rPr>
          <w:rStyle w:val="FootnoteReference"/>
        </w:rPr>
        <w:footnoteReference w:id="116"/>
      </w:r>
      <w:r w:rsidR="002807B6">
        <w:t xml:space="preserve"> – </w:t>
      </w:r>
      <w:r>
        <w:t xml:space="preserve">made clear that it reached </w:t>
      </w:r>
      <w:r w:rsidR="004A429D">
        <w:t xml:space="preserve">more than just intentional discrimination. While the ultimate holding of </w:t>
      </w:r>
      <w:r w:rsidR="004A429D" w:rsidRPr="006B0382">
        <w:rPr>
          <w:i/>
          <w:iCs/>
        </w:rPr>
        <w:t>Alexander v. Choate</w:t>
      </w:r>
      <w:r w:rsidR="004A429D">
        <w:t xml:space="preserve"> is that </w:t>
      </w:r>
      <w:r w:rsidR="00FB393E">
        <w:t xml:space="preserve">the </w:t>
      </w:r>
      <w:r w:rsidR="00AF5995">
        <w:t xml:space="preserve">state </w:t>
      </w:r>
      <w:r w:rsidR="004E5D5F">
        <w:t>program at issue did not violate Section 504, the Court made a series of crucial holdings and statements before reaching this conclusion</w:t>
      </w:r>
      <w:r w:rsidR="00F508E7">
        <w:t>, all of which underscore that the statute reaches unintentional discrimination</w:t>
      </w:r>
      <w:r w:rsidR="004E5D5F">
        <w:t xml:space="preserve">. </w:t>
      </w:r>
    </w:p>
    <w:p w14:paraId="4BB2136B" w14:textId="33C68B03" w:rsidR="007F6563" w:rsidRPr="007F6563" w:rsidRDefault="00F508E7" w:rsidP="00C2028C">
      <w:pPr>
        <w:pStyle w:val="BodyText"/>
      </w:pPr>
      <w:r>
        <w:t xml:space="preserve">The question before the Court </w:t>
      </w:r>
      <w:r w:rsidR="004F3246">
        <w:t xml:space="preserve">in </w:t>
      </w:r>
      <w:r w:rsidR="004F3246" w:rsidRPr="004F3246">
        <w:rPr>
          <w:i/>
          <w:iCs/>
        </w:rPr>
        <w:t>Choate</w:t>
      </w:r>
      <w:r w:rsidR="004F3246">
        <w:t xml:space="preserve"> </w:t>
      </w:r>
      <w:r>
        <w:t xml:space="preserve">was whether a limitation in the Tennessee </w:t>
      </w:r>
      <w:r w:rsidR="00C831F0">
        <w:t xml:space="preserve">Medicaid program had an illegal disparate impact on disabled people. </w:t>
      </w:r>
      <w:r w:rsidR="00D627D0">
        <w:t>While i</w:t>
      </w:r>
      <w:r w:rsidR="00C831F0">
        <w:t>t’s true that the Court</w:t>
      </w:r>
      <w:r w:rsidR="00D76928">
        <w:t xml:space="preserve"> only</w:t>
      </w:r>
      <w:r w:rsidR="00C831F0">
        <w:t xml:space="preserve"> </w:t>
      </w:r>
      <w:r w:rsidR="007F6563">
        <w:t>“</w:t>
      </w:r>
      <w:r w:rsidR="007F6563" w:rsidRPr="00BF13FA">
        <w:rPr>
          <w:i/>
          <w:iCs/>
        </w:rPr>
        <w:t>assume[d] without deciding</w:t>
      </w:r>
      <w:r w:rsidR="007F6563" w:rsidRPr="007F6563">
        <w:t xml:space="preserve"> that § 504 reaches at least some conduct that has an unjustifiable disparate impact upon</w:t>
      </w:r>
      <w:r w:rsidR="007F6563">
        <w:t>”</w:t>
      </w:r>
      <w:r w:rsidR="004F3246">
        <w:t xml:space="preserve"> disabled people,</w:t>
      </w:r>
      <w:r w:rsidR="001212C3">
        <w:rPr>
          <w:rStyle w:val="FootnoteReference"/>
        </w:rPr>
        <w:footnoteReference w:id="117"/>
      </w:r>
      <w:r w:rsidR="007F6563">
        <w:t xml:space="preserve"> </w:t>
      </w:r>
      <w:r w:rsidR="001212C3">
        <w:t xml:space="preserve">it ultimately </w:t>
      </w:r>
      <w:r w:rsidR="001212C3" w:rsidRPr="00555E27">
        <w:rPr>
          <w:i/>
          <w:iCs/>
        </w:rPr>
        <w:t>held</w:t>
      </w:r>
      <w:r w:rsidR="001212C3">
        <w:t xml:space="preserve"> that “an otherwise qualified handicapped individual </w:t>
      </w:r>
      <w:r w:rsidR="001212C3" w:rsidRPr="008833E9">
        <w:rPr>
          <w:b/>
          <w:bCs/>
        </w:rPr>
        <w:t>must be provided with meaningful access to the benefit that the grantee offers</w:t>
      </w:r>
      <w:r w:rsidR="001212C3">
        <w:t xml:space="preserve">. . . . </w:t>
      </w:r>
      <w:r w:rsidR="001212C3" w:rsidRPr="00D06494">
        <w:rPr>
          <w:b/>
          <w:bCs/>
        </w:rPr>
        <w:t>[T]o assure meaningful access, reasonable accommodations in the grantee</w:t>
      </w:r>
      <w:r w:rsidR="003E2DF2">
        <w:rPr>
          <w:b/>
          <w:bCs/>
        </w:rPr>
        <w:t>’</w:t>
      </w:r>
      <w:r w:rsidR="001212C3" w:rsidRPr="00D06494">
        <w:rPr>
          <w:b/>
          <w:bCs/>
        </w:rPr>
        <w:t>s program or benefit may have to be made</w:t>
      </w:r>
      <w:r w:rsidR="001212C3">
        <w:t>.”</w:t>
      </w:r>
      <w:r w:rsidR="001212C3">
        <w:rPr>
          <w:rStyle w:val="FootnoteReference"/>
        </w:rPr>
        <w:footnoteReference w:id="118"/>
      </w:r>
      <w:r w:rsidR="008833E9">
        <w:t xml:space="preserve"> </w:t>
      </w:r>
    </w:p>
    <w:p w14:paraId="0158DB1E" w14:textId="06ABA2D4" w:rsidR="00D06494" w:rsidRDefault="00D06494" w:rsidP="00C2028C">
      <w:pPr>
        <w:pStyle w:val="BodyText"/>
      </w:pPr>
      <w:r>
        <w:t xml:space="preserve">Thus while </w:t>
      </w:r>
      <w:r w:rsidRPr="00592E6E">
        <w:rPr>
          <w:i/>
          <w:iCs/>
        </w:rPr>
        <w:t>Choate</w:t>
      </w:r>
      <w:r>
        <w:t xml:space="preserve"> may not be a full-throated endorsement of a disparate impact theory under Section 504, it leaves no doubt that that statute requires meaningful access </w:t>
      </w:r>
      <w:r w:rsidR="0001191D">
        <w:t>–</w:t>
      </w:r>
      <w:r>
        <w:t xml:space="preserve"> regar</w:t>
      </w:r>
      <w:r w:rsidR="0001191D">
        <w:t>dless of intent – and reasonable accommodations to achieve it.</w:t>
      </w:r>
      <w:r w:rsidR="008A4462">
        <w:t xml:space="preserve"> </w:t>
      </w:r>
    </w:p>
    <w:p w14:paraId="3CF789C7" w14:textId="1093AB0F" w:rsidR="00F5468C" w:rsidRPr="00506848" w:rsidRDefault="003E2DF2" w:rsidP="00FA21A1">
      <w:pPr>
        <w:pStyle w:val="BodyText"/>
      </w:pPr>
      <w:r>
        <w:lastRenderedPageBreak/>
        <w:t xml:space="preserve">The </w:t>
      </w:r>
      <w:r w:rsidRPr="003E2DF2">
        <w:rPr>
          <w:i/>
          <w:iCs/>
        </w:rPr>
        <w:t>Reinhart</w:t>
      </w:r>
      <w:r>
        <w:t xml:space="preserve"> Concurrence</w:t>
      </w:r>
      <w:r w:rsidR="00805FD3" w:rsidRPr="00506848">
        <w:t xml:space="preserve"> </w:t>
      </w:r>
      <w:r w:rsidR="00305A33" w:rsidRPr="00506848">
        <w:t xml:space="preserve">discusses </w:t>
      </w:r>
      <w:r w:rsidR="0001191D" w:rsidRPr="0001191D">
        <w:rPr>
          <w:i/>
          <w:iCs/>
        </w:rPr>
        <w:t>Choate</w:t>
      </w:r>
      <w:r w:rsidR="0001191D" w:rsidRPr="0001191D">
        <w:t>’s</w:t>
      </w:r>
      <w:r w:rsidR="00305A33" w:rsidRPr="00506848">
        <w:t xml:space="preserve"> meaningful access</w:t>
      </w:r>
      <w:r w:rsidR="00CD654D">
        <w:t xml:space="preserve"> and reasonable accommodations </w:t>
      </w:r>
      <w:r w:rsidR="0001191D">
        <w:t>language</w:t>
      </w:r>
      <w:r w:rsidR="00305A33" w:rsidRPr="00506848">
        <w:t xml:space="preserve"> in two different </w:t>
      </w:r>
      <w:r w:rsidR="00617FDB">
        <w:t>places;</w:t>
      </w:r>
      <w:r w:rsidR="00260195">
        <w:t xml:space="preserve"> </w:t>
      </w:r>
      <w:r w:rsidR="0001191D">
        <w:t xml:space="preserve">however, </w:t>
      </w:r>
      <w:r w:rsidR="00260195">
        <w:t xml:space="preserve">in both cases </w:t>
      </w:r>
      <w:r w:rsidR="008E14F1">
        <w:t>it</w:t>
      </w:r>
      <w:r w:rsidR="0001191D">
        <w:t xml:space="preserve"> </w:t>
      </w:r>
      <w:r w:rsidR="00260195">
        <w:t>cit</w:t>
      </w:r>
      <w:r w:rsidR="0001191D">
        <w:t>es only</w:t>
      </w:r>
      <w:r w:rsidR="00260195">
        <w:t xml:space="preserve"> </w:t>
      </w:r>
      <w:r w:rsidR="004676AD">
        <w:t xml:space="preserve">to </w:t>
      </w:r>
      <w:r w:rsidR="004676AD" w:rsidRPr="004676AD">
        <w:rPr>
          <w:i/>
          <w:iCs/>
        </w:rPr>
        <w:t>Ability Center</w:t>
      </w:r>
      <w:r w:rsidR="004676AD">
        <w:t xml:space="preserve"> </w:t>
      </w:r>
      <w:r w:rsidR="00260195">
        <w:t xml:space="preserve">rather than </w:t>
      </w:r>
      <w:r w:rsidR="008D02E3">
        <w:t xml:space="preserve">to </w:t>
      </w:r>
      <w:r w:rsidR="00260195" w:rsidRPr="00AE3B44">
        <w:rPr>
          <w:i/>
          <w:iCs/>
        </w:rPr>
        <w:t>Choate</w:t>
      </w:r>
      <w:r w:rsidR="008D02E3">
        <w:t xml:space="preserve"> itself</w:t>
      </w:r>
      <w:r w:rsidR="00305A33" w:rsidRPr="00506848">
        <w:t xml:space="preserve">. </w:t>
      </w:r>
      <w:r w:rsidR="00D82D5E">
        <w:rPr>
          <w:i/>
          <w:iCs/>
        </w:rPr>
        <w:t>Ability Center</w:t>
      </w:r>
      <w:r w:rsidR="00D82D5E">
        <w:t xml:space="preserve"> paraphrased </w:t>
      </w:r>
      <w:r w:rsidR="00D82D5E">
        <w:rPr>
          <w:i/>
          <w:iCs/>
        </w:rPr>
        <w:t>Choate</w:t>
      </w:r>
      <w:r w:rsidR="00D82D5E">
        <w:t xml:space="preserve">, holding that </w:t>
      </w:r>
      <w:r w:rsidR="00BB3524">
        <w:t xml:space="preserve">Title II </w:t>
      </w:r>
      <w:r w:rsidR="00D82D5E">
        <w:t>“</w:t>
      </w:r>
      <w:r w:rsidR="00D82D5E" w:rsidRPr="00D82D5E">
        <w:t>requires that public entities make reasonable accommodations for disabled individuals so as not to deprive them of meaningful access to the benefits of the services such entities provide.</w:t>
      </w:r>
      <w:r w:rsidR="006127F0">
        <w:t>”</w:t>
      </w:r>
      <w:r w:rsidR="006127F0">
        <w:rPr>
          <w:rStyle w:val="FootnoteReference"/>
        </w:rPr>
        <w:footnoteReference w:id="119"/>
      </w:r>
      <w:r w:rsidR="00F441E9">
        <w:t xml:space="preserve"> </w:t>
      </w:r>
      <w:r w:rsidR="00F52BAB">
        <w:t xml:space="preserve">Without recognizing that the language comes directly from </w:t>
      </w:r>
      <w:r w:rsidR="00F52BAB" w:rsidRPr="00D4273B">
        <w:rPr>
          <w:i/>
          <w:iCs/>
        </w:rPr>
        <w:t>Choate</w:t>
      </w:r>
      <w:r w:rsidR="00373E1B">
        <w:t>, t</w:t>
      </w:r>
      <w:r w:rsidR="00F441E9">
        <w:t>he Reinhart Co</w:t>
      </w:r>
      <w:r w:rsidR="00FA21A1">
        <w:t xml:space="preserve">ncurrence dismisses this holding as </w:t>
      </w:r>
      <w:r w:rsidR="00CD654D">
        <w:t>“debatable</w:t>
      </w:r>
      <w:r w:rsidR="00373E1B">
        <w:t>,</w:t>
      </w:r>
      <w:r w:rsidR="00CD654D">
        <w:t>”</w:t>
      </w:r>
      <w:r w:rsidR="00A9275B">
        <w:rPr>
          <w:rStyle w:val="FootnoteReference"/>
        </w:rPr>
        <w:footnoteReference w:id="120"/>
      </w:r>
      <w:r w:rsidR="00CD654D">
        <w:t xml:space="preserve"> </w:t>
      </w:r>
      <w:r w:rsidR="00260195">
        <w:t>later</w:t>
      </w:r>
      <w:r w:rsidR="00373E1B">
        <w:t xml:space="preserve"> asserting that </w:t>
      </w:r>
      <w:r w:rsidR="0043213D">
        <w:t>“</w:t>
      </w:r>
      <w:r w:rsidR="0043213D" w:rsidRPr="0043213D">
        <w:t>Title II's text and context, as well as background constitutional principles all belie such a reading</w:t>
      </w:r>
      <w:r w:rsidR="0043213D">
        <w:t>.”</w:t>
      </w:r>
      <w:r w:rsidR="00AE3B44">
        <w:rPr>
          <w:rStyle w:val="FootnoteReference"/>
        </w:rPr>
        <w:footnoteReference w:id="121"/>
      </w:r>
      <w:r w:rsidR="002625F1">
        <w:t xml:space="preserve"> </w:t>
      </w:r>
      <w:r w:rsidR="00EF14E9">
        <w:t xml:space="preserve">When </w:t>
      </w:r>
      <w:r w:rsidR="008119C5">
        <w:t xml:space="preserve">the </w:t>
      </w:r>
      <w:r w:rsidR="00F5454F" w:rsidRPr="00F5454F">
        <w:rPr>
          <w:i/>
          <w:iCs/>
        </w:rPr>
        <w:t>Reinhart</w:t>
      </w:r>
      <w:r w:rsidR="00F5454F">
        <w:t xml:space="preserve"> </w:t>
      </w:r>
      <w:r w:rsidR="008119C5">
        <w:t xml:space="preserve">Concurrence </w:t>
      </w:r>
      <w:r w:rsidR="00882A0F">
        <w:t>cites</w:t>
      </w:r>
      <w:r w:rsidR="00EF14E9">
        <w:t xml:space="preserve"> </w:t>
      </w:r>
      <w:r w:rsidR="00EF14E9" w:rsidRPr="00362B61">
        <w:rPr>
          <w:i/>
          <w:iCs/>
        </w:rPr>
        <w:t>Choate</w:t>
      </w:r>
      <w:r w:rsidR="00EF14E9">
        <w:t xml:space="preserve"> by name, </w:t>
      </w:r>
      <w:r w:rsidR="008119C5">
        <w:t xml:space="preserve">it </w:t>
      </w:r>
      <w:r w:rsidR="00EF14E9">
        <w:t xml:space="preserve">does so </w:t>
      </w:r>
      <w:r w:rsidR="00847705">
        <w:t xml:space="preserve">only to </w:t>
      </w:r>
      <w:r w:rsidR="00D306AE">
        <w:t>dismiss it</w:t>
      </w:r>
      <w:r w:rsidR="00362B61">
        <w:t>s language</w:t>
      </w:r>
      <w:r w:rsidR="00D306AE">
        <w:t xml:space="preserve"> – without further analysis – as</w:t>
      </w:r>
      <w:r w:rsidR="00031745">
        <w:t xml:space="preserve"> “</w:t>
      </w:r>
      <w:r w:rsidR="00D476EE">
        <w:t>dicta</w:t>
      </w:r>
      <w:r w:rsidR="00031745">
        <w:t>.”</w:t>
      </w:r>
      <w:r w:rsidR="00D476EE">
        <w:rPr>
          <w:rStyle w:val="FootnoteReference"/>
        </w:rPr>
        <w:footnoteReference w:id="122"/>
      </w:r>
      <w:r w:rsidR="00D476EE">
        <w:t xml:space="preserve"> </w:t>
      </w:r>
      <w:r w:rsidR="00613E94">
        <w:t xml:space="preserve">That is, the </w:t>
      </w:r>
      <w:r w:rsidR="00200D4D" w:rsidRPr="00200D4D">
        <w:rPr>
          <w:i/>
          <w:iCs/>
        </w:rPr>
        <w:t>Reinhart</w:t>
      </w:r>
      <w:r w:rsidR="00200D4D">
        <w:t xml:space="preserve"> </w:t>
      </w:r>
      <w:r w:rsidR="00613E94">
        <w:t xml:space="preserve">Concurrence fails to cite or wrestle with the </w:t>
      </w:r>
      <w:r w:rsidR="00970D79">
        <w:t>holding in bold text above, which reflects the Supreme Court’s view that Section 504 require</w:t>
      </w:r>
      <w:r w:rsidR="00200D4D">
        <w:t>s</w:t>
      </w:r>
      <w:r w:rsidR="00970D79">
        <w:t xml:space="preserve"> meaningful access and reasonable accommodations.</w:t>
      </w:r>
    </w:p>
    <w:p w14:paraId="22AD5BDC" w14:textId="74D1B59E" w:rsidR="00805FD3" w:rsidRDefault="00FC52DA" w:rsidP="00C2028C">
      <w:pPr>
        <w:pStyle w:val="BodyText"/>
      </w:pPr>
      <w:r>
        <w:t xml:space="preserve">The </w:t>
      </w:r>
      <w:r w:rsidRPr="00262B4E">
        <w:rPr>
          <w:i/>
          <w:iCs/>
        </w:rPr>
        <w:t>Reinhart</w:t>
      </w:r>
      <w:r>
        <w:t xml:space="preserve"> Concurrence </w:t>
      </w:r>
      <w:r w:rsidR="00F92FFD">
        <w:t xml:space="preserve">also ignores </w:t>
      </w:r>
      <w:r w:rsidR="00F92FFD" w:rsidRPr="00362B61">
        <w:rPr>
          <w:i/>
          <w:iCs/>
        </w:rPr>
        <w:t>Choate</w:t>
      </w:r>
      <w:r w:rsidR="00F92FFD">
        <w:t>’s extensive discussion of why Section 504 is different from Title VI and why the Court would not</w:t>
      </w:r>
      <w:r w:rsidR="00C72444">
        <w:t>,</w:t>
      </w:r>
      <w:r w:rsidR="00F92FFD">
        <w:t xml:space="preserve"> </w:t>
      </w:r>
      <w:r w:rsidR="00C72444">
        <w:t xml:space="preserve">therefore, </w:t>
      </w:r>
      <w:r w:rsidR="00F92FFD">
        <w:t>import into Section 504 the</w:t>
      </w:r>
      <w:r w:rsidR="000E2CAE">
        <w:t xml:space="preserve"> holding in </w:t>
      </w:r>
      <w:r w:rsidR="000E2CAE" w:rsidRPr="00447C87">
        <w:rPr>
          <w:i/>
          <w:iCs/>
        </w:rPr>
        <w:t xml:space="preserve">Guardians </w:t>
      </w:r>
      <w:r w:rsidR="007B241B">
        <w:rPr>
          <w:i/>
          <w:iCs/>
        </w:rPr>
        <w:t>Association v. Civil Service Commission of City of New York,</w:t>
      </w:r>
      <w:r w:rsidR="000E2CAE">
        <w:rPr>
          <w:rStyle w:val="FootnoteReference"/>
        </w:rPr>
        <w:footnoteReference w:id="123"/>
      </w:r>
      <w:r w:rsidR="000E2CAE">
        <w:t xml:space="preserve"> </w:t>
      </w:r>
      <w:r w:rsidR="0010191E">
        <w:t xml:space="preserve">that Title VI was limited to intentional discrimination. </w:t>
      </w:r>
    </w:p>
    <w:p w14:paraId="20DE8DC6" w14:textId="12880E61" w:rsidR="00A8342A" w:rsidRDefault="00BD4E52" w:rsidP="00C2028C">
      <w:pPr>
        <w:pStyle w:val="BodyText"/>
      </w:pPr>
      <w:r>
        <w:lastRenderedPageBreak/>
        <w:t xml:space="preserve">The defendant in </w:t>
      </w:r>
      <w:r w:rsidRPr="004B584B">
        <w:rPr>
          <w:i/>
          <w:iCs/>
        </w:rPr>
        <w:t>Choate</w:t>
      </w:r>
      <w:r>
        <w:t xml:space="preserve"> </w:t>
      </w:r>
      <w:r w:rsidR="00F7425F">
        <w:t xml:space="preserve">had </w:t>
      </w:r>
      <w:r>
        <w:t xml:space="preserve">urged </w:t>
      </w:r>
      <w:r w:rsidR="00921386">
        <w:t xml:space="preserve">the </w:t>
      </w:r>
      <w:r w:rsidR="004B584B">
        <w:t xml:space="preserve">Court </w:t>
      </w:r>
      <w:r w:rsidR="00921386">
        <w:t xml:space="preserve">to adopt the </w:t>
      </w:r>
      <w:r w:rsidR="00921386" w:rsidRPr="00F7425F">
        <w:rPr>
          <w:i/>
          <w:iCs/>
        </w:rPr>
        <w:t>Guardians</w:t>
      </w:r>
      <w:r w:rsidR="00921386">
        <w:t xml:space="preserve"> standard and limit Section 504 to intentional discrimination</w:t>
      </w:r>
      <w:r w:rsidR="00212D16">
        <w:t>.</w:t>
      </w:r>
      <w:r w:rsidR="003E2DF2">
        <w:rPr>
          <w:rStyle w:val="FootnoteReference"/>
        </w:rPr>
        <w:footnoteReference w:id="124"/>
      </w:r>
      <w:r w:rsidR="00212D16">
        <w:t xml:space="preserve"> </w:t>
      </w:r>
      <w:r w:rsidR="005255F0">
        <w:t>The Court refused to do this, explaining that “</w:t>
      </w:r>
      <w:r w:rsidR="005255F0" w:rsidRPr="005255F0">
        <w:t>there are reasons to pause before too quickly extending</w:t>
      </w:r>
      <w:r w:rsidR="00D646DC">
        <w:t xml:space="preserve">” that holding in </w:t>
      </w:r>
      <w:r w:rsidR="00D646DC" w:rsidRPr="00F7425F">
        <w:rPr>
          <w:i/>
          <w:iCs/>
        </w:rPr>
        <w:t>Guardians</w:t>
      </w:r>
      <w:r w:rsidR="00D646DC">
        <w:t xml:space="preserve"> to Section 504.</w:t>
      </w:r>
      <w:r w:rsidR="00D646DC">
        <w:rPr>
          <w:rStyle w:val="FootnoteReference"/>
        </w:rPr>
        <w:footnoteReference w:id="125"/>
      </w:r>
      <w:r w:rsidR="00ED2703">
        <w:t xml:space="preserve"> Chief among these reasons was the fact that “[d]</w:t>
      </w:r>
      <w:proofErr w:type="spellStart"/>
      <w:r w:rsidR="00ED2703" w:rsidRPr="00ED2703">
        <w:t>iscrimination</w:t>
      </w:r>
      <w:proofErr w:type="spellEnd"/>
      <w:r w:rsidR="00ED2703" w:rsidRPr="00ED2703">
        <w:t xml:space="preserve"> against the handicapped was perceived by Congress to be most often the product, not of invidious animus, but rather of thoughtlessness and indifference</w:t>
      </w:r>
      <w:r w:rsidR="00211C59">
        <w:t xml:space="preserve"> – </w:t>
      </w:r>
      <w:r w:rsidR="00ED2703" w:rsidRPr="00ED2703">
        <w:t>of benign neglect.</w:t>
      </w:r>
      <w:r w:rsidR="00CA7B34">
        <w:t>”</w:t>
      </w:r>
      <w:r w:rsidR="00CA7B34">
        <w:rPr>
          <w:rStyle w:val="FootnoteReference"/>
        </w:rPr>
        <w:footnoteReference w:id="126"/>
      </w:r>
      <w:r w:rsidR="00E6787E">
        <w:t xml:space="preserve"> </w:t>
      </w:r>
      <w:r w:rsidR="00CA7B34">
        <w:t xml:space="preserve">Furthermore, </w:t>
      </w:r>
    </w:p>
    <w:p w14:paraId="3068DA11" w14:textId="77A58ED3" w:rsidR="00C058CB" w:rsidRDefault="00835094" w:rsidP="00C058CB">
      <w:pPr>
        <w:pStyle w:val="Quote"/>
      </w:pPr>
      <w:r w:rsidRPr="00835094">
        <w:t>much of the conduct that Congress sought to alter in passing the Rehabilitation Act would be difficult if not impossible to reach were the Act construed to proscribe only conduct fueled by a discriminatory intent. For example, elimination of architectural barriers was one of the central aims of the Act, yet such barriers were clearly not erected with the aim or intent of excluding the handicapped.</w:t>
      </w:r>
      <w:r>
        <w:rPr>
          <w:rStyle w:val="FootnoteReference"/>
        </w:rPr>
        <w:footnoteReference w:id="127"/>
      </w:r>
      <w:r w:rsidRPr="00835094">
        <w:t xml:space="preserve"> </w:t>
      </w:r>
    </w:p>
    <w:p w14:paraId="6C0564E6" w14:textId="23224637" w:rsidR="000A6AAB" w:rsidRDefault="00E86C6C" w:rsidP="00452F64">
      <w:pPr>
        <w:pStyle w:val="BodyText"/>
        <w:ind w:firstLine="0"/>
      </w:pPr>
      <w:r>
        <w:t xml:space="preserve">In a footnote, the </w:t>
      </w:r>
      <w:r w:rsidRPr="00231259">
        <w:rPr>
          <w:i/>
          <w:iCs/>
        </w:rPr>
        <w:t>Choate</w:t>
      </w:r>
      <w:r>
        <w:t xml:space="preserve"> Court </w:t>
      </w:r>
      <w:r w:rsidR="003B062B">
        <w:t xml:space="preserve">described </w:t>
      </w:r>
      <w:r w:rsidR="00C312FA">
        <w:t>sev</w:t>
      </w:r>
      <w:r>
        <w:t xml:space="preserve">eral other </w:t>
      </w:r>
      <w:r w:rsidR="008A304B">
        <w:t>“</w:t>
      </w:r>
      <w:r w:rsidR="00674646" w:rsidRPr="00674646">
        <w:t xml:space="preserve">considerations </w:t>
      </w:r>
      <w:r w:rsidR="008A304B">
        <w:t xml:space="preserve">[that] </w:t>
      </w:r>
      <w:r w:rsidR="00674646" w:rsidRPr="00674646">
        <w:t xml:space="preserve">counsel hesitation before reading Title VI and § 504 </w:t>
      </w:r>
      <w:r w:rsidR="00674646" w:rsidRPr="00674646">
        <w:rPr>
          <w:i/>
          <w:iCs/>
        </w:rPr>
        <w:t xml:space="preserve">in </w:t>
      </w:r>
      <w:proofErr w:type="spellStart"/>
      <w:r w:rsidR="00674646" w:rsidRPr="00674646">
        <w:rPr>
          <w:i/>
          <w:iCs/>
        </w:rPr>
        <w:t>pari</w:t>
      </w:r>
      <w:proofErr w:type="spellEnd"/>
      <w:r w:rsidR="00674646" w:rsidRPr="00674646">
        <w:rPr>
          <w:i/>
          <w:iCs/>
        </w:rPr>
        <w:t xml:space="preserve"> </w:t>
      </w:r>
      <w:proofErr w:type="spellStart"/>
      <w:r w:rsidR="00674646" w:rsidRPr="00674646">
        <w:rPr>
          <w:i/>
          <w:iCs/>
        </w:rPr>
        <w:t>materia</w:t>
      </w:r>
      <w:proofErr w:type="spellEnd"/>
      <w:r w:rsidR="00674646" w:rsidRPr="00674646">
        <w:t xml:space="preserve"> with respect to the effect/intent issue.</w:t>
      </w:r>
      <w:r w:rsidR="008A304B">
        <w:t>”</w:t>
      </w:r>
      <w:r w:rsidR="008A304B">
        <w:rPr>
          <w:rStyle w:val="FootnoteReference"/>
        </w:rPr>
        <w:footnoteReference w:id="128"/>
      </w:r>
      <w:r w:rsidR="00231259">
        <w:t xml:space="preserve"> </w:t>
      </w:r>
    </w:p>
    <w:p w14:paraId="2699DCE4" w14:textId="6C4E0D4F" w:rsidR="00674646" w:rsidRDefault="00795159" w:rsidP="00C2028C">
      <w:pPr>
        <w:pStyle w:val="BodyText"/>
      </w:pPr>
      <w:r>
        <w:t>While t</w:t>
      </w:r>
      <w:r w:rsidR="00FB6388">
        <w:t xml:space="preserve">he </w:t>
      </w:r>
      <w:r w:rsidR="00FB6388" w:rsidRPr="00FB6388">
        <w:rPr>
          <w:i/>
          <w:iCs/>
        </w:rPr>
        <w:t>Reinhart</w:t>
      </w:r>
      <w:r w:rsidR="00FB6388">
        <w:t xml:space="preserve"> Concurrence </w:t>
      </w:r>
      <w:r w:rsidR="009D587B">
        <w:t xml:space="preserve">makes much of </w:t>
      </w:r>
      <w:r w:rsidR="009D587B" w:rsidRPr="00E30592">
        <w:rPr>
          <w:i/>
          <w:iCs/>
        </w:rPr>
        <w:t>Choate’s</w:t>
      </w:r>
      <w:r w:rsidR="009D587B">
        <w:t xml:space="preserve"> failure to endorse disparate impact, </w:t>
      </w:r>
      <w:r w:rsidR="008629B4">
        <w:t xml:space="preserve">it does not address </w:t>
      </w:r>
      <w:r w:rsidR="00655404" w:rsidRPr="00655404">
        <w:rPr>
          <w:i/>
          <w:iCs/>
        </w:rPr>
        <w:t>Choate</w:t>
      </w:r>
      <w:r w:rsidR="00452F64">
        <w:t>’s</w:t>
      </w:r>
      <w:r w:rsidR="00655404">
        <w:t xml:space="preserve"> </w:t>
      </w:r>
      <w:r w:rsidR="008629B4">
        <w:t xml:space="preserve">holding </w:t>
      </w:r>
      <w:r w:rsidR="000C47A7">
        <w:t>that</w:t>
      </w:r>
      <w:r w:rsidR="00D64895">
        <w:t xml:space="preserve"> we should not read</w:t>
      </w:r>
      <w:r w:rsidR="000C47A7">
        <w:t xml:space="preserve"> “</w:t>
      </w:r>
      <w:r w:rsidR="000C47A7" w:rsidRPr="00674646">
        <w:t xml:space="preserve">Title VI and § 504 </w:t>
      </w:r>
      <w:r w:rsidR="000C47A7" w:rsidRPr="00674646">
        <w:rPr>
          <w:i/>
          <w:iCs/>
        </w:rPr>
        <w:t xml:space="preserve">in </w:t>
      </w:r>
      <w:proofErr w:type="spellStart"/>
      <w:r w:rsidR="000C47A7" w:rsidRPr="00674646">
        <w:rPr>
          <w:i/>
          <w:iCs/>
        </w:rPr>
        <w:t>pari</w:t>
      </w:r>
      <w:proofErr w:type="spellEnd"/>
      <w:r w:rsidR="000C47A7" w:rsidRPr="00674646">
        <w:rPr>
          <w:i/>
          <w:iCs/>
        </w:rPr>
        <w:t xml:space="preserve"> </w:t>
      </w:r>
      <w:proofErr w:type="spellStart"/>
      <w:r w:rsidR="000C47A7" w:rsidRPr="00674646">
        <w:rPr>
          <w:i/>
          <w:iCs/>
        </w:rPr>
        <w:t>materia</w:t>
      </w:r>
      <w:proofErr w:type="spellEnd"/>
      <w:r w:rsidR="000C47A7" w:rsidRPr="00674646">
        <w:t xml:space="preserve"> with respect to the effect/intent issue</w:t>
      </w:r>
      <w:r w:rsidR="00076586">
        <w:t xml:space="preserve">,” </w:t>
      </w:r>
      <w:r w:rsidR="00D64895">
        <w:t xml:space="preserve">which was, in turn, </w:t>
      </w:r>
      <w:r w:rsidR="00076586">
        <w:t>essential to its holding that Section 504 requires “meaningful access.”</w:t>
      </w:r>
      <w:r w:rsidR="00BA40DA">
        <w:t xml:space="preserve"> Instead, </w:t>
      </w:r>
      <w:r w:rsidR="00076586">
        <w:t xml:space="preserve">the </w:t>
      </w:r>
      <w:r w:rsidR="00655404" w:rsidRPr="00D328D2">
        <w:rPr>
          <w:i/>
          <w:iCs/>
        </w:rPr>
        <w:lastRenderedPageBreak/>
        <w:t>Reinhart</w:t>
      </w:r>
      <w:r w:rsidR="00655404">
        <w:t xml:space="preserve"> </w:t>
      </w:r>
      <w:r w:rsidR="00076586">
        <w:t xml:space="preserve">Concurrence </w:t>
      </w:r>
      <w:r w:rsidR="00BA40DA">
        <w:t>addresses this distinction</w:t>
      </w:r>
      <w:r w:rsidR="004724AB">
        <w:t xml:space="preserve"> </w:t>
      </w:r>
      <w:r w:rsidR="00E71ECC">
        <w:t xml:space="preserve">– between Title VI and Section 504 – </w:t>
      </w:r>
      <w:r w:rsidR="00BA40DA">
        <w:t xml:space="preserve">in its discussion of </w:t>
      </w:r>
      <w:r w:rsidR="00BA40DA" w:rsidRPr="00CC5E81">
        <w:rPr>
          <w:i/>
          <w:iCs/>
        </w:rPr>
        <w:t>Ability Center</w:t>
      </w:r>
      <w:r w:rsidR="00A53D5B">
        <w:t xml:space="preserve">, waving it away </w:t>
      </w:r>
      <w:r w:rsidR="00FB6388">
        <w:t>as “vibes.”</w:t>
      </w:r>
      <w:r w:rsidR="00FB6388">
        <w:rPr>
          <w:rStyle w:val="FootnoteReference"/>
        </w:rPr>
        <w:footnoteReference w:id="129"/>
      </w:r>
      <w:r w:rsidR="008A4462">
        <w:t xml:space="preserve"> </w:t>
      </w:r>
    </w:p>
    <w:p w14:paraId="0712999F" w14:textId="50502006" w:rsidR="005E466A" w:rsidRDefault="004661D2" w:rsidP="00FA4B31">
      <w:pPr>
        <w:pStyle w:val="Heading2"/>
      </w:pPr>
      <w:r w:rsidRPr="004F3116">
        <w:rPr>
          <w:i/>
          <w:iCs/>
        </w:rPr>
        <w:t>Olmstead v. L.C</w:t>
      </w:r>
      <w:r>
        <w:t>.</w:t>
      </w:r>
      <w:r w:rsidR="006718AB">
        <w:rPr>
          <w:rStyle w:val="FootnoteReference"/>
        </w:rPr>
        <w:footnoteReference w:id="130"/>
      </w:r>
    </w:p>
    <w:p w14:paraId="1F579F51" w14:textId="2DD65561" w:rsidR="00C572EF" w:rsidRPr="00C572EF" w:rsidRDefault="00776A2E" w:rsidP="00C2028C">
      <w:pPr>
        <w:pStyle w:val="BodyText"/>
      </w:pPr>
      <w:r>
        <w:t xml:space="preserve">Fifteen years after the </w:t>
      </w:r>
      <w:r w:rsidRPr="00784F9C">
        <w:rPr>
          <w:i/>
          <w:iCs/>
        </w:rPr>
        <w:t>Choate</w:t>
      </w:r>
      <w:r>
        <w:t xml:space="preserve"> decision, the Supreme Court </w:t>
      </w:r>
      <w:r w:rsidR="00071742">
        <w:t xml:space="preserve">– interpreting Section 12132 </w:t>
      </w:r>
      <w:r>
        <w:t xml:space="preserve">in </w:t>
      </w:r>
      <w:r w:rsidRPr="00784F9C">
        <w:rPr>
          <w:i/>
          <w:iCs/>
        </w:rPr>
        <w:t>Olmstead v. L.C.</w:t>
      </w:r>
      <w:r w:rsidR="00071742">
        <w:t xml:space="preserve"> – held </w:t>
      </w:r>
      <w:r w:rsidR="00F70EE8">
        <w:t>that “</w:t>
      </w:r>
      <w:r w:rsidR="00CB7390">
        <w:t>[u]</w:t>
      </w:r>
      <w:proofErr w:type="spellStart"/>
      <w:r w:rsidR="00CB7390" w:rsidRPr="00CB7390">
        <w:t>njustified</w:t>
      </w:r>
      <w:proofErr w:type="spellEnd"/>
      <w:r w:rsidR="00CB7390" w:rsidRPr="00CB7390">
        <w:t xml:space="preserve"> isolation</w:t>
      </w:r>
      <w:r w:rsidR="008A4462">
        <w:t xml:space="preserve"> </w:t>
      </w:r>
      <w:r w:rsidR="00CB7390">
        <w:t xml:space="preserve">. . . </w:t>
      </w:r>
      <w:r w:rsidR="00CB7390" w:rsidRPr="00CB7390">
        <w:t>is properly regarded as discrimination based on disability</w:t>
      </w:r>
      <w:r w:rsidR="00CB7390">
        <w:t>.”</w:t>
      </w:r>
      <w:r w:rsidR="00CB7390">
        <w:rPr>
          <w:rStyle w:val="FootnoteReference"/>
        </w:rPr>
        <w:footnoteReference w:id="131"/>
      </w:r>
      <w:r w:rsidR="00784F9C">
        <w:t xml:space="preserve"> </w:t>
      </w:r>
      <w:r w:rsidR="007C1E06">
        <w:t xml:space="preserve">While the Court expressly did not rule on the validity of the Title II regulations, </w:t>
      </w:r>
      <w:r w:rsidR="0068217F">
        <w:t>it did something more important for our purposes:</w:t>
      </w:r>
      <w:r w:rsidR="008A4462">
        <w:t xml:space="preserve"> </w:t>
      </w:r>
      <w:r w:rsidR="0068217F">
        <w:t xml:space="preserve">it affirmed the Eleventh Circuit’s holding that </w:t>
      </w:r>
      <w:r w:rsidR="00D41685">
        <w:t>“</w:t>
      </w:r>
      <w:r w:rsidR="00D41685" w:rsidRPr="00D41685">
        <w:t xml:space="preserve">undue institutionalization </w:t>
      </w:r>
      <w:r w:rsidR="00D41685" w:rsidRPr="004D72B3">
        <w:rPr>
          <w:b/>
          <w:bCs/>
        </w:rPr>
        <w:t xml:space="preserve">qualifies as discrimination </w:t>
      </w:r>
      <w:r w:rsidR="006F6227" w:rsidRPr="004D72B3">
        <w:rPr>
          <w:b/>
          <w:bCs/>
        </w:rPr>
        <w:t>‘</w:t>
      </w:r>
      <w:r w:rsidR="00D41685" w:rsidRPr="004D72B3">
        <w:rPr>
          <w:b/>
          <w:bCs/>
        </w:rPr>
        <w:t>by reason of ... disability</w:t>
      </w:r>
      <w:r w:rsidR="00D41685" w:rsidRPr="00D41685">
        <w:t>.</w:t>
      </w:r>
      <w:r w:rsidR="006F6227">
        <w:t>’”</w:t>
      </w:r>
      <w:r w:rsidR="006F6227">
        <w:rPr>
          <w:rStyle w:val="FootnoteReference"/>
        </w:rPr>
        <w:footnoteReference w:id="132"/>
      </w:r>
      <w:r w:rsidR="008A4462">
        <w:t xml:space="preserve"> </w:t>
      </w:r>
      <w:r w:rsidR="00E13C82">
        <w:t>That is, it grounded its holding in the language of the statute itself, not the regulations; that language prohibits</w:t>
      </w:r>
      <w:r w:rsidR="00ED05CA">
        <w:t xml:space="preserve"> “discrimination,” which – the Supreme Court </w:t>
      </w:r>
      <w:r w:rsidR="00FB3E98">
        <w:t>held</w:t>
      </w:r>
      <w:r w:rsidR="00ED05CA">
        <w:t xml:space="preserve"> – encompasses</w:t>
      </w:r>
      <w:r w:rsidR="00E13C82">
        <w:t xml:space="preserve"> </w:t>
      </w:r>
      <w:r w:rsidR="002B7519">
        <w:t xml:space="preserve">unjustified isolation. </w:t>
      </w:r>
    </w:p>
    <w:p w14:paraId="78838A3E" w14:textId="7BF295E9" w:rsidR="005D2494" w:rsidRDefault="005D2494" w:rsidP="00C2028C">
      <w:pPr>
        <w:pStyle w:val="BodyText"/>
      </w:pPr>
      <w:r>
        <w:t xml:space="preserve">The </w:t>
      </w:r>
      <w:r w:rsidRPr="00036079">
        <w:rPr>
          <w:i/>
          <w:iCs/>
        </w:rPr>
        <w:t>Reinhart</w:t>
      </w:r>
      <w:r>
        <w:t xml:space="preserve"> Concurrence </w:t>
      </w:r>
      <w:r w:rsidR="00737566">
        <w:t>dismisse</w:t>
      </w:r>
      <w:r w:rsidR="00414971">
        <w:t>s</w:t>
      </w:r>
      <w:r w:rsidR="00737566">
        <w:t xml:space="preserve"> </w:t>
      </w:r>
      <w:r w:rsidR="005F73E3" w:rsidRPr="005F73E3">
        <w:rPr>
          <w:i/>
          <w:iCs/>
        </w:rPr>
        <w:t>Olmstead</w:t>
      </w:r>
      <w:r w:rsidR="005F73E3">
        <w:t>’s</w:t>
      </w:r>
      <w:r w:rsidR="00737566">
        <w:t xml:space="preserve"> holding as “focused</w:t>
      </w:r>
      <w:r w:rsidR="00143280">
        <w:t>”</w:t>
      </w:r>
      <w:r w:rsidR="005927B8">
        <w:t xml:space="preserve"> on </w:t>
      </w:r>
      <w:r w:rsidR="00E227B2">
        <w:t>institutionalization</w:t>
      </w:r>
      <w:r w:rsidR="00CE161F">
        <w:rPr>
          <w:rStyle w:val="FootnoteReference"/>
        </w:rPr>
        <w:footnoteReference w:id="133"/>
      </w:r>
      <w:r w:rsidR="00737566">
        <w:t xml:space="preserve"> </w:t>
      </w:r>
      <w:r w:rsidR="004E3C9F">
        <w:t>asserting that its</w:t>
      </w:r>
      <w:r w:rsidR="00C7267D">
        <w:t xml:space="preserve"> “</w:t>
      </w:r>
      <w:r w:rsidR="00C7267D" w:rsidRPr="00C7267D">
        <w:t xml:space="preserve">holding </w:t>
      </w:r>
      <w:r w:rsidR="00C7267D">
        <w:t xml:space="preserve">[was] </w:t>
      </w:r>
      <w:r w:rsidR="00C7267D" w:rsidRPr="00C7267D">
        <w:t xml:space="preserve">that Title II's </w:t>
      </w:r>
      <w:r w:rsidR="00C7267D">
        <w:t>‘</w:t>
      </w:r>
      <w:r w:rsidR="00C7267D" w:rsidRPr="00C7267D">
        <w:t>proscription of discrimination</w:t>
      </w:r>
      <w:r w:rsidR="00C7267D">
        <w:t>’</w:t>
      </w:r>
      <w:r w:rsidR="00C7267D" w:rsidRPr="00C7267D">
        <w:t xml:space="preserve"> encompasses the unwarranted institutionalization of disabled individuals</w:t>
      </w:r>
      <w:r w:rsidR="00C7267D">
        <w:t>.”</w:t>
      </w:r>
      <w:r w:rsidR="00C7267D">
        <w:rPr>
          <w:rStyle w:val="FootnoteReference"/>
        </w:rPr>
        <w:footnoteReference w:id="134"/>
      </w:r>
      <w:r w:rsidR="00C7267D">
        <w:t xml:space="preserve"> Well, yes.</w:t>
      </w:r>
      <w:r w:rsidR="008A4462">
        <w:t xml:space="preserve"> </w:t>
      </w:r>
      <w:r w:rsidR="00C7267D">
        <w:t xml:space="preserve">That’s the point: </w:t>
      </w:r>
      <w:r w:rsidR="000E2B97" w:rsidRPr="000E2B97">
        <w:rPr>
          <w:i/>
          <w:iCs/>
        </w:rPr>
        <w:t>Olmstead</w:t>
      </w:r>
      <w:r w:rsidR="002A5D38">
        <w:t xml:space="preserve"> held that unwarranted institutionalization – not </w:t>
      </w:r>
      <w:r w:rsidR="00DB6C76">
        <w:t>“</w:t>
      </w:r>
      <w:r w:rsidR="002A5D38">
        <w:t xml:space="preserve">intentional institutionalization” – violates Title II. </w:t>
      </w:r>
    </w:p>
    <w:p w14:paraId="110DEABF" w14:textId="12110F6B" w:rsidR="00213CE3" w:rsidRDefault="005B6A61" w:rsidP="00C2028C">
      <w:pPr>
        <w:pStyle w:val="BodyText"/>
      </w:pPr>
      <w:r>
        <w:lastRenderedPageBreak/>
        <w:t>T</w:t>
      </w:r>
      <w:r w:rsidR="00AB7A2D">
        <w:t xml:space="preserve">he </w:t>
      </w:r>
      <w:r w:rsidR="00053031" w:rsidRPr="00262B4E">
        <w:rPr>
          <w:i/>
          <w:iCs/>
        </w:rPr>
        <w:t>Reinhart</w:t>
      </w:r>
      <w:r w:rsidR="00053031">
        <w:t xml:space="preserve"> Concurrence </w:t>
      </w:r>
      <w:r>
        <w:t xml:space="preserve">also </w:t>
      </w:r>
      <w:r w:rsidR="00C63B7E">
        <w:t xml:space="preserve">relies on </w:t>
      </w:r>
      <w:r w:rsidR="00CC7B9C">
        <w:t xml:space="preserve">Justice </w:t>
      </w:r>
      <w:r w:rsidR="00053031">
        <w:t>Thomas</w:t>
      </w:r>
      <w:r w:rsidR="00CC7B9C">
        <w:t>’s</w:t>
      </w:r>
      <w:r w:rsidR="00053031">
        <w:t xml:space="preserve"> dissent </w:t>
      </w:r>
      <w:r w:rsidR="00CC7B9C">
        <w:t xml:space="preserve">in </w:t>
      </w:r>
      <w:r w:rsidR="00C63B7E" w:rsidRPr="00C63B7E">
        <w:rPr>
          <w:i/>
          <w:iCs/>
        </w:rPr>
        <w:t>Olmstead</w:t>
      </w:r>
      <w:r w:rsidR="00964D94">
        <w:t xml:space="preserve"> </w:t>
      </w:r>
      <w:r w:rsidR="00D11F85">
        <w:t>to argue</w:t>
      </w:r>
      <w:r w:rsidR="00964D94">
        <w:t xml:space="preserve"> that </w:t>
      </w:r>
      <w:r w:rsidR="00564AA9">
        <w:t>“the word ‘</w:t>
      </w:r>
      <w:r w:rsidR="00964D94">
        <w:t>discrimination</w:t>
      </w:r>
      <w:r w:rsidR="00564AA9">
        <w:t xml:space="preserve">’ … </w:t>
      </w:r>
      <w:r w:rsidR="007C105D">
        <w:t xml:space="preserve">ordinarily ‘requires </w:t>
      </w:r>
      <w:r w:rsidR="007C07C7">
        <w:t xml:space="preserve">a </w:t>
      </w:r>
      <w:r w:rsidR="007C07C7" w:rsidRPr="007C07C7">
        <w:t>showing that a claimant received differential treatment</w:t>
      </w:r>
      <w:r w:rsidR="007C07C7">
        <w:t xml:space="preserve">’” </w:t>
      </w:r>
      <w:r w:rsidR="00D11F85">
        <w:t>in contrast to a member of a non-protected class</w:t>
      </w:r>
      <w:r w:rsidR="00826B5E">
        <w:t>.</w:t>
      </w:r>
      <w:r w:rsidR="00820D43">
        <w:rPr>
          <w:rStyle w:val="FootnoteReference"/>
        </w:rPr>
        <w:footnoteReference w:id="135"/>
      </w:r>
      <w:r w:rsidR="00F20129">
        <w:t xml:space="preserve"> </w:t>
      </w:r>
      <w:r w:rsidR="00BB31E0">
        <w:t>But</w:t>
      </w:r>
      <w:r w:rsidR="00036079">
        <w:t>, as noted above,</w:t>
      </w:r>
      <w:r w:rsidR="00BB31E0">
        <w:t xml:space="preserve"> t</w:t>
      </w:r>
      <w:r w:rsidR="00F469BE">
        <w:t xml:space="preserve">he </w:t>
      </w:r>
      <w:r w:rsidR="00F469BE" w:rsidRPr="00FA3A7C">
        <w:rPr>
          <w:i/>
          <w:iCs/>
        </w:rPr>
        <w:t>Olmstead</w:t>
      </w:r>
      <w:r w:rsidR="00F469BE">
        <w:t xml:space="preserve"> </w:t>
      </w:r>
      <w:r w:rsidR="000D5693">
        <w:t>majority</w:t>
      </w:r>
      <w:r w:rsidR="00F469BE">
        <w:t xml:space="preserve"> </w:t>
      </w:r>
      <w:r w:rsidR="007D1455">
        <w:t xml:space="preserve">explicitly rejected </w:t>
      </w:r>
      <w:r w:rsidR="00826B5E">
        <w:t xml:space="preserve">the </w:t>
      </w:r>
      <w:r w:rsidR="00F469BE">
        <w:t>argument</w:t>
      </w:r>
      <w:r w:rsidR="00B35C24">
        <w:t xml:space="preserve"> </w:t>
      </w:r>
      <w:r w:rsidR="00F469BE">
        <w:t xml:space="preserve">that </w:t>
      </w:r>
      <w:r w:rsidR="00F469BE" w:rsidRPr="00C572EF">
        <w:t>“‘discrimination’ necessarily requires uneven treatment of similarly situated individuals</w:t>
      </w:r>
      <w:r w:rsidR="00F469BE">
        <w:t>”</w:t>
      </w:r>
      <w:r w:rsidR="00D02706">
        <w:t xml:space="preserve"> on the grounds </w:t>
      </w:r>
      <w:r w:rsidR="00F469BE">
        <w:t>that “</w:t>
      </w:r>
      <w:r w:rsidR="00F469BE" w:rsidRPr="00270B65">
        <w:t>Congress had a more comprehensive view of the concept of discrimination advanced in the ADA.</w:t>
      </w:r>
      <w:r w:rsidR="00F469BE">
        <w:t>”</w:t>
      </w:r>
      <w:r w:rsidR="00F469BE">
        <w:rPr>
          <w:rStyle w:val="FootnoteReference"/>
        </w:rPr>
        <w:footnoteReference w:id="136"/>
      </w:r>
      <w:r w:rsidR="00A7392D">
        <w:t xml:space="preserve"> </w:t>
      </w:r>
    </w:p>
    <w:p w14:paraId="4D1EACBA" w14:textId="64D44D80" w:rsidR="00201473" w:rsidRPr="004F3116" w:rsidRDefault="004661D2" w:rsidP="00FA4B31">
      <w:pPr>
        <w:pStyle w:val="Heading2"/>
        <w:rPr>
          <w:i/>
          <w:iCs/>
        </w:rPr>
      </w:pPr>
      <w:r w:rsidRPr="004F3116">
        <w:rPr>
          <w:i/>
          <w:iCs/>
        </w:rPr>
        <w:t>Tennessee v. Lane</w:t>
      </w:r>
      <w:r w:rsidR="0067667C">
        <w:rPr>
          <w:i/>
          <w:iCs/>
        </w:rPr>
        <w:t>.</w:t>
      </w:r>
    </w:p>
    <w:p w14:paraId="11409CD9" w14:textId="3B78C083" w:rsidR="004661D2" w:rsidRDefault="003F54C9" w:rsidP="00C2028C">
      <w:pPr>
        <w:pStyle w:val="BodyText"/>
      </w:pPr>
      <w:r>
        <w:t xml:space="preserve">Five years </w:t>
      </w:r>
      <w:r w:rsidR="002B6779">
        <w:t>later</w:t>
      </w:r>
      <w:r>
        <w:t xml:space="preserve">, the Court was faced with the question whether </w:t>
      </w:r>
      <w:r w:rsidR="00E17DD5">
        <w:t xml:space="preserve">Title II exceeded Congress’s power under section 5 of the Fourteenth Amendment and thus whether </w:t>
      </w:r>
      <w:r w:rsidR="00DD3612">
        <w:t xml:space="preserve">states had sovereign immunity </w:t>
      </w:r>
      <w:r w:rsidR="00FE64AE">
        <w:t xml:space="preserve">under the Eleventh Amendment </w:t>
      </w:r>
      <w:r w:rsidR="00DD3612">
        <w:t xml:space="preserve">against </w:t>
      </w:r>
      <w:r w:rsidR="00C2634B">
        <w:t xml:space="preserve">damages suits </w:t>
      </w:r>
      <w:r w:rsidR="00DD3612">
        <w:t>under that statute</w:t>
      </w:r>
      <w:r w:rsidR="00FA5B68">
        <w:t>.</w:t>
      </w:r>
      <w:r w:rsidR="00A153E1">
        <w:rPr>
          <w:rStyle w:val="FootnoteReference"/>
        </w:rPr>
        <w:footnoteReference w:id="137"/>
      </w:r>
      <w:r w:rsidR="00B274CA">
        <w:t xml:space="preserve"> </w:t>
      </w:r>
    </w:p>
    <w:p w14:paraId="0576DB9E" w14:textId="3389321F" w:rsidR="004661D2" w:rsidRDefault="003C1C5C" w:rsidP="00C2028C">
      <w:pPr>
        <w:pStyle w:val="BodyText"/>
      </w:pPr>
      <w:r>
        <w:t>T</w:t>
      </w:r>
      <w:r w:rsidR="007231A7">
        <w:t>he Court had earlier held</w:t>
      </w:r>
      <w:r w:rsidR="00DA79F3">
        <w:t xml:space="preserve"> </w:t>
      </w:r>
      <w:r w:rsidR="007231A7">
        <w:t>that</w:t>
      </w:r>
      <w:r w:rsidR="00A967F5">
        <w:t xml:space="preserve"> “i</w:t>
      </w:r>
      <w:r w:rsidR="000343AD" w:rsidRPr="000343AD">
        <w:t>n order to authorize private individuals to recover money damages against the States</w:t>
      </w:r>
      <w:r w:rsidR="00B2791A">
        <w:t xml:space="preserve"> . . . </w:t>
      </w:r>
      <w:r w:rsidR="000343AD" w:rsidRPr="000343AD">
        <w:t>the remedy imposed by Congress must be congruent and proportional to the targeted violation.</w:t>
      </w:r>
      <w:r w:rsidR="00A967F5">
        <w:t>”</w:t>
      </w:r>
      <w:r w:rsidR="00A967F5">
        <w:rPr>
          <w:rStyle w:val="FootnoteReference"/>
        </w:rPr>
        <w:footnoteReference w:id="138"/>
      </w:r>
      <w:r w:rsidR="00A0450C">
        <w:t xml:space="preserve"> </w:t>
      </w:r>
      <w:r w:rsidR="006D728D">
        <w:t xml:space="preserve">Because </w:t>
      </w:r>
      <w:r w:rsidR="00251844">
        <w:t xml:space="preserve">the Court </w:t>
      </w:r>
      <w:r w:rsidR="006D728D">
        <w:t xml:space="preserve">held </w:t>
      </w:r>
      <w:r w:rsidR="00321FF1">
        <w:t xml:space="preserve">that </w:t>
      </w:r>
      <w:r w:rsidR="006D728D">
        <w:t xml:space="preserve">those requirements were not met with respect to Title I </w:t>
      </w:r>
      <w:r w:rsidR="00A967F5">
        <w:t>of the ADA</w:t>
      </w:r>
      <w:r w:rsidR="00321FF1">
        <w:t>, states have sove</w:t>
      </w:r>
      <w:r w:rsidR="001B3F71">
        <w:t>reign immunity from damages suits under that provision.</w:t>
      </w:r>
      <w:r w:rsidR="001B3F71">
        <w:rPr>
          <w:rStyle w:val="FootnoteReference"/>
        </w:rPr>
        <w:footnoteReference w:id="139"/>
      </w:r>
    </w:p>
    <w:p w14:paraId="0067CDD1" w14:textId="0D50F94C" w:rsidR="004D6400" w:rsidRPr="00EC43B9" w:rsidRDefault="007544B8" w:rsidP="00FC0FB4">
      <w:pPr>
        <w:pStyle w:val="BodyText"/>
      </w:pPr>
      <w:r>
        <w:t xml:space="preserve">In </w:t>
      </w:r>
      <w:r>
        <w:rPr>
          <w:i/>
          <w:iCs/>
        </w:rPr>
        <w:t>Lane</w:t>
      </w:r>
      <w:r>
        <w:t xml:space="preserve">, the </w:t>
      </w:r>
      <w:r w:rsidR="00C13656">
        <w:t xml:space="preserve">Supreme </w:t>
      </w:r>
      <w:r>
        <w:t>Court</w:t>
      </w:r>
      <w:r w:rsidR="00927A5F">
        <w:t xml:space="preserve"> faced the </w:t>
      </w:r>
      <w:r w:rsidR="00AB775E">
        <w:t>same question with respect to Title II. The Court</w:t>
      </w:r>
      <w:r>
        <w:t xml:space="preserve"> disaggregated the </w:t>
      </w:r>
      <w:r w:rsidR="001D3FC2">
        <w:t>contexts covered by Title II</w:t>
      </w:r>
      <w:r w:rsidR="00A153E1">
        <w:t xml:space="preserve"> and ultimately held</w:t>
      </w:r>
      <w:r w:rsidR="0043125F">
        <w:t xml:space="preserve"> </w:t>
      </w:r>
      <w:r w:rsidR="00A153E1">
        <w:t xml:space="preserve">– with respect to </w:t>
      </w:r>
      <w:r w:rsidR="00A153E1">
        <w:lastRenderedPageBreak/>
        <w:t>physical access to court facilities –</w:t>
      </w:r>
      <w:r w:rsidR="0043125F">
        <w:t xml:space="preserve"> that </w:t>
      </w:r>
      <w:r w:rsidR="00F70033">
        <w:t>“</w:t>
      </w:r>
      <w:r w:rsidR="00F70033" w:rsidRPr="00F70033">
        <w:t>Congress</w:t>
      </w:r>
      <w:r w:rsidR="00AB775E">
        <w:t>’</w:t>
      </w:r>
      <w:r w:rsidR="00F70033" w:rsidRPr="00F70033">
        <w:t xml:space="preserve"> chosen remedy for the pattern of exclusion and discrimination </w:t>
      </w:r>
      <w:r w:rsidR="00DA4730">
        <w:t>. . .,</w:t>
      </w:r>
      <w:r w:rsidR="00F70033" w:rsidRPr="00F70033">
        <w:t xml:space="preserve"> Title II</w:t>
      </w:r>
      <w:r w:rsidR="00AB775E">
        <w:t>’</w:t>
      </w:r>
      <w:r w:rsidR="00F70033" w:rsidRPr="00F70033">
        <w:t>s requirement of program accessibility, is congruent and proportional to its object of enforcing the right of access to the courts.</w:t>
      </w:r>
      <w:r w:rsidR="00F70033">
        <w:t>”</w:t>
      </w:r>
      <w:r w:rsidR="00A153E1">
        <w:rPr>
          <w:rStyle w:val="FootnoteReference"/>
        </w:rPr>
        <w:footnoteReference w:id="140"/>
      </w:r>
      <w:r w:rsidR="005869C9">
        <w:t xml:space="preserve"> </w:t>
      </w:r>
      <w:r w:rsidR="00AF5364">
        <w:t>I</w:t>
      </w:r>
      <w:r w:rsidR="005869C9">
        <w:t xml:space="preserve">ntegral to this holding </w:t>
      </w:r>
      <w:r w:rsidR="002F408E">
        <w:t xml:space="preserve">was the fact that </w:t>
      </w:r>
      <w:r w:rsidR="00750286">
        <w:t>the remedy was “</w:t>
      </w:r>
      <w:r w:rsidR="00750286" w:rsidRPr="00750286">
        <w:t>a limited one. Recognizing that failure to accommodate persons with disabilities will often have the same practical effect as outright exclusion, Congress required the States to take reasonable measures to remove architectural and other barriers to accessibility.</w:t>
      </w:r>
      <w:r w:rsidR="00750286">
        <w:t>”</w:t>
      </w:r>
      <w:r w:rsidR="00750286">
        <w:rPr>
          <w:rStyle w:val="FootnoteReference"/>
        </w:rPr>
        <w:footnoteReference w:id="141"/>
      </w:r>
      <w:r w:rsidR="00750286" w:rsidRPr="00750286">
        <w:t xml:space="preserve"> </w:t>
      </w:r>
      <w:r w:rsidR="005F6753">
        <w:t xml:space="preserve">The decision </w:t>
      </w:r>
      <w:r w:rsidR="00893214">
        <w:t>went</w:t>
      </w:r>
      <w:r w:rsidR="005F6753">
        <w:t xml:space="preserve"> on to describe the regulations requiring different levels of accessibility in new and older facilities.</w:t>
      </w:r>
      <w:r w:rsidR="00F16E10">
        <w:rPr>
          <w:rStyle w:val="FootnoteReference"/>
        </w:rPr>
        <w:footnoteReference w:id="142"/>
      </w:r>
      <w:r w:rsidR="006F5ED3">
        <w:t xml:space="preserve"> </w:t>
      </w:r>
      <w:r w:rsidR="004D6400">
        <w:t>As</w:t>
      </w:r>
      <w:r w:rsidR="00EC43B9">
        <w:t xml:space="preserve"> the Fifth Circuit </w:t>
      </w:r>
      <w:r w:rsidR="00FC0FB4">
        <w:t>explained</w:t>
      </w:r>
      <w:r w:rsidR="00EC43B9">
        <w:t xml:space="preserve"> in </w:t>
      </w:r>
      <w:r w:rsidR="00EC43B9">
        <w:rPr>
          <w:i/>
          <w:iCs/>
        </w:rPr>
        <w:t>Frame</w:t>
      </w:r>
      <w:r w:rsidR="00EC43B9">
        <w:t>, “</w:t>
      </w:r>
      <w:r w:rsidR="00FC0FB4">
        <w:t>[t]</w:t>
      </w:r>
      <w:r w:rsidR="00EC43B9">
        <w:t>he Supreme Court’s use of DOJ</w:t>
      </w:r>
      <w:r w:rsidR="00407001">
        <w:t>’</w:t>
      </w:r>
      <w:r w:rsidR="00EC43B9">
        <w:t>s regulations to illustrate the scope of Title II</w:t>
      </w:r>
      <w:r w:rsidR="00FC0FB4">
        <w:t>’</w:t>
      </w:r>
      <w:r w:rsidR="00EC43B9">
        <w:t>s reasonable modification requirement is a good indication that those regulations simply apply Title II's nondiscrimination mandate.</w:t>
      </w:r>
      <w:r w:rsidR="00FC0FB4">
        <w:t>”</w:t>
      </w:r>
      <w:r w:rsidR="00FC0FB4">
        <w:rPr>
          <w:rStyle w:val="FootnoteReference"/>
        </w:rPr>
        <w:footnoteReference w:id="143"/>
      </w:r>
    </w:p>
    <w:p w14:paraId="46DC1414" w14:textId="1FD7ED9C" w:rsidR="00750286" w:rsidRDefault="006F5ED3" w:rsidP="00C2028C">
      <w:pPr>
        <w:pStyle w:val="BodyText"/>
      </w:pPr>
      <w:r>
        <w:t xml:space="preserve">The </w:t>
      </w:r>
      <w:r w:rsidR="00FC0FB4" w:rsidRPr="00FC0FB4">
        <w:rPr>
          <w:i/>
          <w:iCs/>
        </w:rPr>
        <w:t>Lane</w:t>
      </w:r>
      <w:r w:rsidR="00FC0FB4">
        <w:t xml:space="preserve"> </w:t>
      </w:r>
      <w:r>
        <w:t>Court concluded:</w:t>
      </w:r>
    </w:p>
    <w:p w14:paraId="79AAA19F" w14:textId="53FCC116" w:rsidR="006F5ED3" w:rsidRDefault="006F5ED3" w:rsidP="00036079">
      <w:pPr>
        <w:pStyle w:val="Quote"/>
      </w:pPr>
      <w:r w:rsidRPr="006F5ED3">
        <w:t>Title II's affirmative obligation to accommodate persons with disabilities in the administration of justice cannot be said to be “so out of proportion to a supposed remedial or preventive object that it cannot be understood as responsive to, or designed to prevent, unconstitutional behavior.” It is, rather, a reasonable prophylactic measure, reasonably targeted to a legitimate end.</w:t>
      </w:r>
      <w:r w:rsidR="00333CC0">
        <w:rPr>
          <w:rStyle w:val="FootnoteReference"/>
        </w:rPr>
        <w:footnoteReference w:id="144"/>
      </w:r>
    </w:p>
    <w:p w14:paraId="288A7A3E" w14:textId="3FCA8098" w:rsidR="001761CD" w:rsidRPr="00D90F83" w:rsidRDefault="00885EFC" w:rsidP="00C2028C">
      <w:pPr>
        <w:pStyle w:val="BodyText"/>
      </w:pPr>
      <w:r>
        <w:lastRenderedPageBreak/>
        <w:t xml:space="preserve">The </w:t>
      </w:r>
      <w:r w:rsidRPr="00F56983">
        <w:rPr>
          <w:i/>
          <w:iCs/>
        </w:rPr>
        <w:t>Reinhart</w:t>
      </w:r>
      <w:r>
        <w:t xml:space="preserve"> Concurrence </w:t>
      </w:r>
      <w:r w:rsidR="008B0C28">
        <w:t xml:space="preserve">dismisses the </w:t>
      </w:r>
      <w:r w:rsidR="005109D3" w:rsidRPr="005109D3">
        <w:rPr>
          <w:i/>
          <w:iCs/>
        </w:rPr>
        <w:t>Lane</w:t>
      </w:r>
      <w:r w:rsidR="005109D3">
        <w:t xml:space="preserve"> </w:t>
      </w:r>
      <w:r w:rsidR="008B0C28">
        <w:t xml:space="preserve">Court’s extensive discussion of Title II’s </w:t>
      </w:r>
      <w:r w:rsidR="00D90F83">
        <w:t xml:space="preserve">architectural barrier removal requirement, </w:t>
      </w:r>
      <w:r w:rsidR="00144623">
        <w:t>describing the holding as narrow</w:t>
      </w:r>
      <w:r w:rsidR="005C2328">
        <w:t xml:space="preserve">ly limited to court access and </w:t>
      </w:r>
      <w:r w:rsidR="00771FD0">
        <w:t xml:space="preserve">faulting the Court for </w:t>
      </w:r>
      <w:r w:rsidR="007D6EEE">
        <w:t>failing to analyze the text of Section 12132.</w:t>
      </w:r>
      <w:r w:rsidR="005C2328">
        <w:rPr>
          <w:rStyle w:val="FootnoteReference"/>
        </w:rPr>
        <w:footnoteReference w:id="145"/>
      </w:r>
      <w:r w:rsidR="007D6EEE">
        <w:t xml:space="preserve"> </w:t>
      </w:r>
    </w:p>
    <w:p w14:paraId="4BB4C0E9" w14:textId="24309D50" w:rsidR="004661D2" w:rsidRDefault="00BB5150" w:rsidP="00FA4B31">
      <w:pPr>
        <w:pStyle w:val="Heading2"/>
      </w:pPr>
      <w:r>
        <w:t>Courts of Appeals</w:t>
      </w:r>
      <w:r w:rsidR="0067667C">
        <w:t>.</w:t>
      </w:r>
    </w:p>
    <w:p w14:paraId="3EDBF0F0" w14:textId="20B50247" w:rsidR="00BB5150" w:rsidRDefault="00F30D3C" w:rsidP="007D10F1">
      <w:pPr>
        <w:pStyle w:val="Heading3"/>
        <w:numPr>
          <w:ilvl w:val="0"/>
          <w:numId w:val="20"/>
        </w:numPr>
      </w:pPr>
      <w:r>
        <w:t>The Sixth Circuit</w:t>
      </w:r>
      <w:r w:rsidR="0067667C">
        <w:t>.</w:t>
      </w:r>
    </w:p>
    <w:p w14:paraId="0644B47E" w14:textId="4275DF8B" w:rsidR="00BB5150" w:rsidRPr="00743F77" w:rsidRDefault="000F7522" w:rsidP="00C2028C">
      <w:pPr>
        <w:pStyle w:val="BodyText"/>
      </w:pPr>
      <w:r>
        <w:t xml:space="preserve">Perhaps the sharpest arrow in the Concurrences’ quiver </w:t>
      </w:r>
      <w:r w:rsidR="00883A0A">
        <w:t xml:space="preserve">is </w:t>
      </w:r>
      <w:r w:rsidRPr="00883A0A">
        <w:rPr>
          <w:i/>
          <w:iCs/>
        </w:rPr>
        <w:t>Doe v. BlueCross BlueShield of Tennessee, Inc</w:t>
      </w:r>
      <w:r>
        <w:t>.</w:t>
      </w:r>
      <w:r w:rsidR="00883A0A">
        <w:t xml:space="preserve"> in which the Sixth Circuit </w:t>
      </w:r>
      <w:r w:rsidR="00626336">
        <w:t xml:space="preserve">stated that it </w:t>
      </w:r>
      <w:r w:rsidR="00743F77">
        <w:t xml:space="preserve">“resolve[d] what </w:t>
      </w:r>
      <w:r w:rsidR="00743F77">
        <w:rPr>
          <w:i/>
          <w:iCs/>
        </w:rPr>
        <w:t>Choate</w:t>
      </w:r>
      <w:r w:rsidR="00743F77">
        <w:t xml:space="preserve"> did not</w:t>
      </w:r>
      <w:r w:rsidR="00F26CD5">
        <w:t xml:space="preserve"> and conclude[d] that § 504 does not prohibit disparate impact discrimination.</w:t>
      </w:r>
      <w:r w:rsidR="00F74B3E">
        <w:t>”</w:t>
      </w:r>
      <w:r w:rsidR="00F26CD5">
        <w:rPr>
          <w:rStyle w:val="FootnoteReference"/>
        </w:rPr>
        <w:footnoteReference w:id="146"/>
      </w:r>
      <w:r w:rsidR="00285344">
        <w:t xml:space="preserve"> However, that case is not ultimately as powerful as </w:t>
      </w:r>
      <w:r w:rsidR="00626336">
        <w:t xml:space="preserve">the Concurrences </w:t>
      </w:r>
      <w:r w:rsidR="004A45DA">
        <w:t>mi</w:t>
      </w:r>
      <w:r w:rsidR="007F17CA">
        <w:t xml:space="preserve">ght </w:t>
      </w:r>
      <w:r w:rsidR="00626336">
        <w:t>suppose.</w:t>
      </w:r>
    </w:p>
    <w:p w14:paraId="280BD7F1" w14:textId="2E4D16EC" w:rsidR="00F11138" w:rsidRDefault="000F6651" w:rsidP="00C2028C">
      <w:pPr>
        <w:pStyle w:val="BodyText"/>
      </w:pPr>
      <w:r>
        <w:t xml:space="preserve">The </w:t>
      </w:r>
      <w:r w:rsidR="007F17CA" w:rsidRPr="007F17CA">
        <w:rPr>
          <w:i/>
          <w:iCs/>
        </w:rPr>
        <w:t>Doe</w:t>
      </w:r>
      <w:r w:rsidR="007F17CA">
        <w:t xml:space="preserve"> </w:t>
      </w:r>
      <w:r>
        <w:t xml:space="preserve">court based its </w:t>
      </w:r>
      <w:r w:rsidR="005D18D1">
        <w:t xml:space="preserve">conclusion </w:t>
      </w:r>
      <w:r>
        <w:t xml:space="preserve">on </w:t>
      </w:r>
      <w:r w:rsidR="005D18D1">
        <w:t>the word “solely” in Section 504</w:t>
      </w:r>
      <w:r w:rsidR="00D84A5F">
        <w:t xml:space="preserve"> – the statute bars discrimination </w:t>
      </w:r>
      <w:r w:rsidR="00A83E5C">
        <w:t>“</w:t>
      </w:r>
      <w:r w:rsidR="00A83E5C" w:rsidRPr="00A83E5C">
        <w:t xml:space="preserve">solely by reason of </w:t>
      </w:r>
      <w:r w:rsidR="00A83E5C">
        <w:t xml:space="preserve">. . . </w:t>
      </w:r>
      <w:r w:rsidR="00A83E5C" w:rsidRPr="00A83E5C">
        <w:t>disability</w:t>
      </w:r>
      <w:r w:rsidR="00A83E5C">
        <w:t>”</w:t>
      </w:r>
      <w:r w:rsidR="00A83E5C">
        <w:rPr>
          <w:rStyle w:val="FootnoteReference"/>
        </w:rPr>
        <w:footnoteReference w:id="147"/>
      </w:r>
      <w:r w:rsidR="00A83E5C">
        <w:t xml:space="preserve"> – </w:t>
      </w:r>
      <w:r w:rsidR="00DF2D58">
        <w:t xml:space="preserve">holding that </w:t>
      </w:r>
      <w:r w:rsidR="00ED2084">
        <w:t>this language “does not encompass actions taken for nondiscriminatory reasons.”</w:t>
      </w:r>
      <w:r w:rsidR="00ED2084">
        <w:rPr>
          <w:rStyle w:val="FootnoteReference"/>
        </w:rPr>
        <w:footnoteReference w:id="148"/>
      </w:r>
      <w:r w:rsidR="005F116B">
        <w:t xml:space="preserve"> </w:t>
      </w:r>
      <w:r w:rsidR="00294E9C">
        <w:t>There are a number of problems with this decision</w:t>
      </w:r>
      <w:r w:rsidR="008712BA">
        <w:t xml:space="preserve">. </w:t>
      </w:r>
    </w:p>
    <w:p w14:paraId="35640A15" w14:textId="14344C71" w:rsidR="00702B59" w:rsidRDefault="004A7F24" w:rsidP="00C2028C">
      <w:pPr>
        <w:pStyle w:val="BodyText"/>
      </w:pPr>
      <w:r>
        <w:t xml:space="preserve">Perhaps most troubling is the fact that </w:t>
      </w:r>
      <w:r w:rsidR="00CF70EB">
        <w:t xml:space="preserve">the </w:t>
      </w:r>
      <w:r w:rsidR="00CF70EB" w:rsidRPr="004A7F24">
        <w:rPr>
          <w:i/>
          <w:iCs/>
        </w:rPr>
        <w:t>Doe</w:t>
      </w:r>
      <w:r w:rsidR="00CF70EB">
        <w:t xml:space="preserve"> court does not address </w:t>
      </w:r>
      <w:r w:rsidR="009C3DF6">
        <w:t>the then-</w:t>
      </w:r>
      <w:r w:rsidR="0030013E">
        <w:t>41 year</w:t>
      </w:r>
      <w:r w:rsidR="009C3DF6">
        <w:t xml:space="preserve"> old </w:t>
      </w:r>
      <w:r w:rsidR="0030013E">
        <w:t xml:space="preserve">Section 504 </w:t>
      </w:r>
      <w:r w:rsidR="006B4212">
        <w:t>regulations – incorporated into the ADA and endorsed by courts and legislative history</w:t>
      </w:r>
      <w:r w:rsidR="006B4212">
        <w:rPr>
          <w:rStyle w:val="FootnoteReference"/>
        </w:rPr>
        <w:footnoteReference w:id="149"/>
      </w:r>
      <w:r w:rsidR="0005269F">
        <w:t xml:space="preserve"> – prohibiting </w:t>
      </w:r>
      <w:r w:rsidR="00E35852">
        <w:t>funding recipients from “</w:t>
      </w:r>
      <w:proofErr w:type="spellStart"/>
      <w:r w:rsidR="00E35852">
        <w:t>utiliz</w:t>
      </w:r>
      <w:proofErr w:type="spellEnd"/>
      <w:r w:rsidR="00E35852">
        <w:t>[</w:t>
      </w:r>
      <w:proofErr w:type="spellStart"/>
      <w:r w:rsidR="00E35852">
        <w:t>ing</w:t>
      </w:r>
      <w:proofErr w:type="spellEnd"/>
      <w:r w:rsidR="00E35852">
        <w:t>]</w:t>
      </w:r>
      <w:r w:rsidR="00E35852" w:rsidRPr="00E72594">
        <w:t xml:space="preserve"> criteria or methods of administration </w:t>
      </w:r>
      <w:r w:rsidR="00E35852">
        <w:t xml:space="preserve">. . . </w:t>
      </w:r>
      <w:r w:rsidR="00E35852" w:rsidRPr="00E72594">
        <w:t xml:space="preserve">that have the effect of subjecting qualified handicapped persons to </w:t>
      </w:r>
      <w:r w:rsidR="00E35852" w:rsidRPr="00E72594">
        <w:lastRenderedPageBreak/>
        <w:t>discrimination on the basis of handicap</w:t>
      </w:r>
      <w:r w:rsidR="00E35852">
        <w:t>.”</w:t>
      </w:r>
      <w:r w:rsidR="00E35852">
        <w:rPr>
          <w:rStyle w:val="FootnoteReference"/>
        </w:rPr>
        <w:footnoteReference w:id="150"/>
      </w:r>
      <w:r w:rsidR="00047028">
        <w:t xml:space="preserve"> </w:t>
      </w:r>
      <w:r w:rsidR="00507F2D">
        <w:t>It also does</w:t>
      </w:r>
      <w:r w:rsidR="003C12C0">
        <w:t xml:space="preserve"> not cite</w:t>
      </w:r>
      <w:r w:rsidR="00A663E8">
        <w:t>,</w:t>
      </w:r>
      <w:r w:rsidR="003C12C0">
        <w:t xml:space="preserve"> much less distinguish</w:t>
      </w:r>
      <w:r w:rsidR="00A663E8">
        <w:t>,</w:t>
      </w:r>
      <w:r w:rsidR="003C12C0">
        <w:t xml:space="preserve"> </w:t>
      </w:r>
      <w:r w:rsidR="003C12C0">
        <w:rPr>
          <w:i/>
          <w:iCs/>
        </w:rPr>
        <w:t>Ability Center</w:t>
      </w:r>
      <w:r w:rsidR="003C12C0">
        <w:t xml:space="preserve">, decided </w:t>
      </w:r>
      <w:r w:rsidR="000C07BE">
        <w:t>15 years previously.</w:t>
      </w:r>
      <w:r w:rsidR="008A4462">
        <w:t xml:space="preserve"> </w:t>
      </w:r>
      <w:r w:rsidR="00C16BFA">
        <w:t xml:space="preserve">It’s true that </w:t>
      </w:r>
      <w:r w:rsidR="00C16BFA">
        <w:rPr>
          <w:i/>
          <w:iCs/>
        </w:rPr>
        <w:t>Ability Center</w:t>
      </w:r>
      <w:r w:rsidR="00C16BFA">
        <w:t xml:space="preserve"> interprets Title II</w:t>
      </w:r>
      <w:r w:rsidR="00B76238">
        <w:t xml:space="preserve">, but given the interwoven history of both statutes, it’s telling that the court elected to ignore the earlier case. </w:t>
      </w:r>
    </w:p>
    <w:p w14:paraId="5711BF45" w14:textId="77777777" w:rsidR="00AC087F" w:rsidRDefault="00774636" w:rsidP="00C2028C">
      <w:pPr>
        <w:pStyle w:val="BodyText"/>
      </w:pPr>
      <w:r>
        <w:t xml:space="preserve">In any event, </w:t>
      </w:r>
      <w:r w:rsidR="009639CD" w:rsidRPr="00A10C84">
        <w:rPr>
          <w:i/>
          <w:iCs/>
        </w:rPr>
        <w:t>Doe</w:t>
      </w:r>
      <w:r w:rsidR="009639CD">
        <w:t xml:space="preserve"> makes clear </w:t>
      </w:r>
      <w:r w:rsidR="009639CD" w:rsidRPr="004E4FD0">
        <w:t>that</w:t>
      </w:r>
      <w:r w:rsidR="009639CD">
        <w:t xml:space="preserve"> its holding is limited to disparate impact: </w:t>
      </w:r>
    </w:p>
    <w:p w14:paraId="78DA3592" w14:textId="5EE39BB2" w:rsidR="00871B90" w:rsidRDefault="00AC087F" w:rsidP="00C2028C">
      <w:pPr>
        <w:pStyle w:val="Quote"/>
      </w:pPr>
      <w:r w:rsidRPr="00AC087F">
        <w:t>A claim based on a denial of a reasonable accommodation differs from a disparate-impact claim. Under the Rehabilitation Act, a disabled person is “otherwise qualified” for a program if he could meet its requirements with a reasonable accommodation. And when that holds true, a denial of the requested accommodation may amount to unlawful discrimination.</w:t>
      </w:r>
      <w:r>
        <w:rPr>
          <w:rStyle w:val="FootnoteReference"/>
        </w:rPr>
        <w:footnoteReference w:id="151"/>
      </w:r>
    </w:p>
    <w:p w14:paraId="57AD8279" w14:textId="3DE1C2DA" w:rsidR="00F11138" w:rsidRDefault="0024228F" w:rsidP="004B727A">
      <w:pPr>
        <w:pStyle w:val="BodyText"/>
        <w:ind w:firstLine="0"/>
      </w:pPr>
      <w:r>
        <w:t xml:space="preserve">This passage makes </w:t>
      </w:r>
      <w:r w:rsidR="00E67394">
        <w:t xml:space="preserve">reliance on </w:t>
      </w:r>
      <w:r w:rsidR="00E67394" w:rsidRPr="00F63343">
        <w:rPr>
          <w:i/>
          <w:iCs/>
        </w:rPr>
        <w:t>Doe</w:t>
      </w:r>
      <w:r>
        <w:t xml:space="preserve"> especially inappropriate </w:t>
      </w:r>
      <w:r w:rsidR="00E67394">
        <w:t xml:space="preserve">in the </w:t>
      </w:r>
      <w:r w:rsidR="00E67394" w:rsidRPr="00F63343">
        <w:rPr>
          <w:i/>
          <w:iCs/>
        </w:rPr>
        <w:t>Booth</w:t>
      </w:r>
      <w:r w:rsidR="00E67394">
        <w:t xml:space="preserve"> case, which </w:t>
      </w:r>
      <w:r w:rsidR="0017479D">
        <w:t>addressed the question whether Section 12132 requires reasonable accommodations.</w:t>
      </w:r>
      <w:r w:rsidR="00DF2926">
        <w:rPr>
          <w:rStyle w:val="FootnoteReference"/>
        </w:rPr>
        <w:footnoteReference w:id="152"/>
      </w:r>
      <w:r w:rsidR="00F63343">
        <w:t xml:space="preserve"> Ultimately, </w:t>
      </w:r>
      <w:r w:rsidR="00F63343" w:rsidRPr="00F63343">
        <w:rPr>
          <w:i/>
          <w:iCs/>
        </w:rPr>
        <w:t>Doe</w:t>
      </w:r>
      <w:r w:rsidR="00F63343">
        <w:t xml:space="preserve"> should not </w:t>
      </w:r>
      <w:r w:rsidR="00AD53CD">
        <w:t xml:space="preserve">curtail claims for various types of unintentional discrimination under Section 12132, as </w:t>
      </w:r>
      <w:r w:rsidR="00EA5B43">
        <w:t xml:space="preserve">the </w:t>
      </w:r>
      <w:r w:rsidR="008712BA">
        <w:t xml:space="preserve">word “solely” </w:t>
      </w:r>
      <w:r w:rsidR="00EA5B43">
        <w:t xml:space="preserve">– on which </w:t>
      </w:r>
      <w:r w:rsidR="00EA5B43" w:rsidRPr="00DB4963">
        <w:rPr>
          <w:i/>
          <w:iCs/>
        </w:rPr>
        <w:t>Doe</w:t>
      </w:r>
      <w:r w:rsidR="00EA5B43">
        <w:t xml:space="preserve"> based its holding – </w:t>
      </w:r>
      <w:r w:rsidR="008712BA">
        <w:t>does not appear in the language of</w:t>
      </w:r>
      <w:r w:rsidR="00AD53CD">
        <w:t xml:space="preserve"> that provision; </w:t>
      </w:r>
      <w:r w:rsidR="008712BA">
        <w:t>recall</w:t>
      </w:r>
      <w:r w:rsidR="007F17CA">
        <w:t>, too,</w:t>
      </w:r>
      <w:r w:rsidR="008712BA">
        <w:t xml:space="preserve"> that Section 504 is floor for interpretation of the ADA,</w:t>
      </w:r>
      <w:r w:rsidR="008712BA">
        <w:rPr>
          <w:rStyle w:val="FootnoteReference"/>
        </w:rPr>
        <w:footnoteReference w:id="153"/>
      </w:r>
      <w:r w:rsidR="008712BA">
        <w:t xml:space="preserve"> not a mirror. </w:t>
      </w:r>
    </w:p>
    <w:p w14:paraId="26A5AA40" w14:textId="19A1E54A" w:rsidR="00600E48" w:rsidRPr="00AE68E6" w:rsidRDefault="0037132D" w:rsidP="007F11C3">
      <w:pPr>
        <w:pStyle w:val="BodyText"/>
      </w:pPr>
      <w:r>
        <w:t xml:space="preserve">In any event, the two opinions under discussion here are simply concurrences, that is, the </w:t>
      </w:r>
      <w:r w:rsidR="00717217">
        <w:t xml:space="preserve">views of two Sixth Circuit judges, neither reflecting binding circuit precedent. Indeed, </w:t>
      </w:r>
      <w:r w:rsidR="00600E48">
        <w:t>before and after the</w:t>
      </w:r>
      <w:r w:rsidR="00717217">
        <w:t>se</w:t>
      </w:r>
      <w:r w:rsidR="00600E48">
        <w:t xml:space="preserve"> Concurrences, the Sixth Circuit </w:t>
      </w:r>
      <w:r w:rsidR="005D6811">
        <w:t xml:space="preserve">has continued to hold that Title II reaches various types of unintentional discrimination. </w:t>
      </w:r>
      <w:r w:rsidR="00B339BD">
        <w:t>For example, just last month, i</w:t>
      </w:r>
      <w:r w:rsidR="00AA0475">
        <w:t xml:space="preserve">n </w:t>
      </w:r>
      <w:r w:rsidR="00AA0475" w:rsidRPr="00AA0CDA">
        <w:rPr>
          <w:i/>
          <w:iCs/>
        </w:rPr>
        <w:t xml:space="preserve">Thomas v. </w:t>
      </w:r>
      <w:proofErr w:type="spellStart"/>
      <w:r w:rsidR="00AA0475" w:rsidRPr="00AA0CDA">
        <w:rPr>
          <w:i/>
          <w:iCs/>
        </w:rPr>
        <w:t>Piggett</w:t>
      </w:r>
      <w:proofErr w:type="spellEnd"/>
      <w:r w:rsidR="00AA0475">
        <w:t xml:space="preserve">, that </w:t>
      </w:r>
      <w:r w:rsidR="00C33310">
        <w:t>court</w:t>
      </w:r>
      <w:r w:rsidR="00B339BD">
        <w:t xml:space="preserve"> </w:t>
      </w:r>
      <w:r w:rsidR="00AA0475">
        <w:t xml:space="preserve">reversed the dismissal of a </w:t>
      </w:r>
      <w:r w:rsidR="008A2D90">
        <w:t xml:space="preserve">prisoner’s Title II damages claim </w:t>
      </w:r>
      <w:r w:rsidR="008A2D90">
        <w:lastRenderedPageBreak/>
        <w:t>for failure to accommodate.</w:t>
      </w:r>
      <w:r w:rsidR="00635DB0">
        <w:rPr>
          <w:rStyle w:val="FootnoteReference"/>
        </w:rPr>
        <w:footnoteReference w:id="154"/>
      </w:r>
      <w:r w:rsidR="00135446">
        <w:t xml:space="preserve"> </w:t>
      </w:r>
      <w:r w:rsidR="00CB3DAC">
        <w:t>In</w:t>
      </w:r>
      <w:r w:rsidR="005E0500">
        <w:t xml:space="preserve"> </w:t>
      </w:r>
      <w:r w:rsidR="005E0500" w:rsidRPr="00063DBC">
        <w:rPr>
          <w:i/>
          <w:iCs/>
        </w:rPr>
        <w:t>Knox County, Tennessee</w:t>
      </w:r>
      <w:r w:rsidR="00063DBC" w:rsidRPr="00063DBC">
        <w:rPr>
          <w:i/>
          <w:iCs/>
        </w:rPr>
        <w:t xml:space="preserve"> v. M.Q</w:t>
      </w:r>
      <w:r w:rsidR="00CB3DAC">
        <w:t>, decided in 2024</w:t>
      </w:r>
      <w:r w:rsidR="00AE68E6">
        <w:t xml:space="preserve"> – </w:t>
      </w:r>
      <w:r w:rsidR="00012F19">
        <w:t xml:space="preserve">just </w:t>
      </w:r>
      <w:r w:rsidR="00AE68E6">
        <w:t xml:space="preserve">a year before </w:t>
      </w:r>
      <w:r w:rsidR="00AE68E6" w:rsidRPr="00AE68E6">
        <w:rPr>
          <w:i/>
          <w:iCs/>
        </w:rPr>
        <w:t>Reinhart</w:t>
      </w:r>
      <w:r w:rsidR="00AE68E6">
        <w:t xml:space="preserve"> and two years before </w:t>
      </w:r>
      <w:r w:rsidR="00AE68E6" w:rsidRPr="00AE68E6">
        <w:rPr>
          <w:i/>
          <w:iCs/>
        </w:rPr>
        <w:t>Booth</w:t>
      </w:r>
      <w:r w:rsidR="00AE68E6">
        <w:t xml:space="preserve"> –</w:t>
      </w:r>
      <w:r w:rsidR="00CB3DAC">
        <w:t xml:space="preserve"> that </w:t>
      </w:r>
      <w:r w:rsidR="00B339BD">
        <w:t xml:space="preserve">circuit </w:t>
      </w:r>
      <w:r w:rsidR="00CB3DAC">
        <w:t xml:space="preserve">held that </w:t>
      </w:r>
      <w:r w:rsidR="00A874E1">
        <w:t>“</w:t>
      </w:r>
      <w:r w:rsidR="00A874E1" w:rsidRPr="00A874E1">
        <w:t xml:space="preserve">Section 504 </w:t>
      </w:r>
      <w:r w:rsidR="00A874E1">
        <w:t xml:space="preserve">. . . </w:t>
      </w:r>
      <w:r w:rsidR="00A874E1" w:rsidRPr="00A874E1">
        <w:t xml:space="preserve">requires states to assure </w:t>
      </w:r>
      <w:r w:rsidR="00A874E1">
        <w:t>‘</w:t>
      </w:r>
      <w:r w:rsidR="00A874E1" w:rsidRPr="00A874E1">
        <w:t>meaningful access</w:t>
      </w:r>
      <w:r w:rsidR="00A874E1">
        <w:t xml:space="preserve">’ </w:t>
      </w:r>
      <w:r w:rsidR="00A874E1" w:rsidRPr="00A874E1">
        <w:t>to their programs by making reasonable accommodations as may be necessary</w:t>
      </w:r>
      <w:r w:rsidR="00AF17CD">
        <w:t>” and that Title II “</w:t>
      </w:r>
      <w:r w:rsidR="00AF17CD" w:rsidRPr="00AF17CD">
        <w:t>requires public entities to make reasonable modifications to their policies, practices, or procedures to avoid discrimination on the basis of disability.</w:t>
      </w:r>
      <w:r w:rsidR="00AF17CD">
        <w:t>”</w:t>
      </w:r>
      <w:r w:rsidR="009E43AB">
        <w:rPr>
          <w:rStyle w:val="FootnoteReference"/>
        </w:rPr>
        <w:footnoteReference w:id="155"/>
      </w:r>
      <w:r w:rsidR="00AE68E6">
        <w:t xml:space="preserve"> The </w:t>
      </w:r>
      <w:r w:rsidR="00AE68E6">
        <w:rPr>
          <w:i/>
          <w:iCs/>
        </w:rPr>
        <w:t>Knox County</w:t>
      </w:r>
      <w:r w:rsidR="00AE68E6">
        <w:t xml:space="preserve"> court summarized that </w:t>
      </w:r>
      <w:r w:rsidR="00364290">
        <w:t>“</w:t>
      </w:r>
      <w:r w:rsidR="001B2E43">
        <w:t>[a]</w:t>
      </w:r>
      <w:r w:rsidR="00364290" w:rsidRPr="00364290">
        <w:t xml:space="preserve"> plaintiff may allege disability discrimination under two available theories: intentional discrimination and failure to reasonably accommodate.</w:t>
      </w:r>
      <w:r w:rsidR="00364290">
        <w:t>”</w:t>
      </w:r>
      <w:r w:rsidR="00364290">
        <w:rPr>
          <w:rStyle w:val="FootnoteReference"/>
        </w:rPr>
        <w:footnoteReference w:id="156"/>
      </w:r>
      <w:r w:rsidR="0041224F">
        <w:t xml:space="preserve"> </w:t>
      </w:r>
      <w:r w:rsidR="00A910B1">
        <w:t xml:space="preserve">Neither the </w:t>
      </w:r>
      <w:r w:rsidR="0041224F" w:rsidRPr="00A910B1">
        <w:rPr>
          <w:i/>
          <w:iCs/>
        </w:rPr>
        <w:t>Reinhart</w:t>
      </w:r>
      <w:r w:rsidR="0041224F">
        <w:t xml:space="preserve"> </w:t>
      </w:r>
      <w:r w:rsidR="00A910B1">
        <w:t xml:space="preserve">nor the </w:t>
      </w:r>
      <w:r w:rsidR="00A910B1" w:rsidRPr="00A910B1">
        <w:rPr>
          <w:i/>
          <w:iCs/>
        </w:rPr>
        <w:t>Booth</w:t>
      </w:r>
      <w:r w:rsidR="00A910B1">
        <w:t xml:space="preserve"> </w:t>
      </w:r>
      <w:r w:rsidR="0041224F">
        <w:t xml:space="preserve">Concurrence </w:t>
      </w:r>
      <w:r w:rsidR="00A910B1">
        <w:t xml:space="preserve">cites to </w:t>
      </w:r>
      <w:r w:rsidR="00A910B1" w:rsidRPr="00A910B1">
        <w:rPr>
          <w:i/>
          <w:iCs/>
        </w:rPr>
        <w:t>Knox County</w:t>
      </w:r>
      <w:r w:rsidR="00A910B1">
        <w:t>.</w:t>
      </w:r>
    </w:p>
    <w:p w14:paraId="00DA5722" w14:textId="4DA240F3" w:rsidR="00F11138" w:rsidRPr="007544B8" w:rsidRDefault="00F30D3C" w:rsidP="00F30D3C">
      <w:pPr>
        <w:pStyle w:val="Heading3"/>
      </w:pPr>
      <w:r>
        <w:t>Other Circuits</w:t>
      </w:r>
      <w:r w:rsidR="0067667C">
        <w:t>.</w:t>
      </w:r>
    </w:p>
    <w:p w14:paraId="36BC0478" w14:textId="129891E6" w:rsidR="004908B4" w:rsidRDefault="00115685" w:rsidP="00C2028C">
      <w:pPr>
        <w:pStyle w:val="BodyText"/>
      </w:pPr>
      <w:r>
        <w:t xml:space="preserve">The </w:t>
      </w:r>
      <w:r w:rsidRPr="00E53624">
        <w:rPr>
          <w:i/>
          <w:iCs/>
        </w:rPr>
        <w:t>Reinhart</w:t>
      </w:r>
      <w:r>
        <w:t xml:space="preserve"> Concurrence concedes that </w:t>
      </w:r>
      <w:r w:rsidR="00142F06">
        <w:t>“</w:t>
      </w:r>
      <w:r w:rsidR="00E16BE6">
        <w:t>[r]</w:t>
      </w:r>
      <w:proofErr w:type="spellStart"/>
      <w:r w:rsidR="00E16BE6" w:rsidRPr="00E16BE6">
        <w:t>easonable</w:t>
      </w:r>
      <w:proofErr w:type="spellEnd"/>
      <w:r w:rsidR="00E16BE6" w:rsidRPr="00E16BE6">
        <w:t xml:space="preserve"> accommodation liability is the prevailing standard among the circuit courts</w:t>
      </w:r>
      <w:r w:rsidR="00E16BE6">
        <w:t>,”</w:t>
      </w:r>
      <w:r w:rsidR="00474D5F">
        <w:rPr>
          <w:rStyle w:val="FootnoteReference"/>
        </w:rPr>
        <w:footnoteReference w:id="157"/>
      </w:r>
      <w:r w:rsidR="00E16BE6">
        <w:t xml:space="preserve"> but dismisses that with a quote from </w:t>
      </w:r>
      <w:r w:rsidR="00E4091B">
        <w:t xml:space="preserve">Charles </w:t>
      </w:r>
      <w:r w:rsidR="00E16BE6">
        <w:t xml:space="preserve">Dickens </w:t>
      </w:r>
      <w:r w:rsidR="00553AF4">
        <w:t>to the effect that</w:t>
      </w:r>
      <w:r w:rsidR="00E16BE6">
        <w:t xml:space="preserve"> </w:t>
      </w:r>
      <w:r w:rsidR="00553AF4">
        <w:t xml:space="preserve">we </w:t>
      </w:r>
      <w:r w:rsidR="002B0C1D">
        <w:t>should not assume that what we’ve done in the past is the right thing</w:t>
      </w:r>
      <w:r w:rsidR="00553AF4">
        <w:t>.</w:t>
      </w:r>
      <w:r w:rsidR="00A92D73">
        <w:t xml:space="preserve"> But isn’t that</w:t>
      </w:r>
      <w:r w:rsidR="002B0C1D">
        <w:t xml:space="preserve"> more or less</w:t>
      </w:r>
      <w:r w:rsidR="00A92D73">
        <w:t xml:space="preserve"> a foundational principle of our judicial system</w:t>
      </w:r>
      <w:r w:rsidR="003474D7">
        <w:t>:</w:t>
      </w:r>
      <w:r w:rsidR="008A4462">
        <w:t xml:space="preserve"> </w:t>
      </w:r>
      <w:r w:rsidR="00436670">
        <w:t xml:space="preserve">the binding effect of </w:t>
      </w:r>
      <w:r w:rsidR="002E4C84">
        <w:t xml:space="preserve">decisions of higher courts and earlier decisions </w:t>
      </w:r>
      <w:r w:rsidR="00436670">
        <w:t xml:space="preserve">within the same </w:t>
      </w:r>
      <w:r w:rsidR="00436670">
        <w:lastRenderedPageBreak/>
        <w:t xml:space="preserve">circuit; </w:t>
      </w:r>
      <w:r w:rsidR="00B80AC0">
        <w:t xml:space="preserve">and </w:t>
      </w:r>
      <w:r w:rsidR="00436670">
        <w:t xml:space="preserve">respect for the </w:t>
      </w:r>
      <w:r w:rsidR="007A74C6">
        <w:t xml:space="preserve">well-reasoned </w:t>
      </w:r>
      <w:r w:rsidR="009212C6">
        <w:t xml:space="preserve">decisions </w:t>
      </w:r>
      <w:r w:rsidR="00436670">
        <w:t>of sister circuits</w:t>
      </w:r>
      <w:r w:rsidR="009212C6">
        <w:t xml:space="preserve"> and district courts</w:t>
      </w:r>
      <w:r w:rsidR="006428F8">
        <w:t>?</w:t>
      </w:r>
      <w:r w:rsidR="00B80AC0">
        <w:t xml:space="preserve"> </w:t>
      </w:r>
      <w:r w:rsidR="00E53624">
        <w:t>These sources have consistently held that Section 12132</w:t>
      </w:r>
      <w:r w:rsidR="00F96906">
        <w:t xml:space="preserve"> prohibits both intentional and unintentional discrimination. For example: </w:t>
      </w:r>
    </w:p>
    <w:p w14:paraId="0F000DC2" w14:textId="34E2F8E3" w:rsidR="00A00355" w:rsidRDefault="00A00355" w:rsidP="00FA4B31">
      <w:pPr>
        <w:pStyle w:val="ListParagraph"/>
      </w:pPr>
      <w:r w:rsidRPr="000F51C4">
        <w:rPr>
          <w:b/>
          <w:bCs/>
        </w:rPr>
        <w:t>First</w:t>
      </w:r>
      <w:r>
        <w:t>:</w:t>
      </w:r>
      <w:r w:rsidR="0025325D">
        <w:t xml:space="preserve"> </w:t>
      </w:r>
      <w:r w:rsidR="0025325D" w:rsidRPr="00EA45CF">
        <w:rPr>
          <w:i/>
          <w:iCs/>
        </w:rPr>
        <w:t xml:space="preserve">Sosa v. Massachusetts </w:t>
      </w:r>
      <w:r w:rsidR="003D2EE2">
        <w:rPr>
          <w:i/>
          <w:iCs/>
        </w:rPr>
        <w:t>Department</w:t>
      </w:r>
      <w:r w:rsidR="0025325D" w:rsidRPr="00EA45CF">
        <w:rPr>
          <w:i/>
          <w:iCs/>
        </w:rPr>
        <w:t xml:space="preserve"> of Correction</w:t>
      </w:r>
      <w:r w:rsidR="00D23EA6">
        <w:t>:</w:t>
      </w:r>
      <w:r w:rsidR="0025325D">
        <w:t xml:space="preserve"> </w:t>
      </w:r>
      <w:r w:rsidR="00487A58">
        <w:t>“</w:t>
      </w:r>
      <w:r w:rsidR="00487A58" w:rsidRPr="00487A58">
        <w:t xml:space="preserve">Courts have </w:t>
      </w:r>
      <w:r w:rsidR="00487A58" w:rsidRPr="00FA4B31">
        <w:t>recognized</w:t>
      </w:r>
      <w:r w:rsidR="00487A58" w:rsidRPr="00487A58">
        <w:t xml:space="preserve"> that a claim under Title II may be premised on one of three theories of discrimination: (1) intentional discrimination or disparate treatment; (2) failure to make a reasonable accommodation; (3) disparate impact</w:t>
      </w:r>
      <w:r w:rsidR="00487A58">
        <w:t>.”</w:t>
      </w:r>
      <w:r w:rsidR="00037102">
        <w:rPr>
          <w:rStyle w:val="FootnoteReference"/>
        </w:rPr>
        <w:footnoteReference w:id="158"/>
      </w:r>
    </w:p>
    <w:p w14:paraId="771F2FD9" w14:textId="4F18F1A8" w:rsidR="00A00355" w:rsidRDefault="00A00355" w:rsidP="00FA4B31">
      <w:pPr>
        <w:pStyle w:val="ListParagraph"/>
      </w:pPr>
      <w:r w:rsidRPr="000F51C4">
        <w:rPr>
          <w:b/>
          <w:bCs/>
        </w:rPr>
        <w:t>Second</w:t>
      </w:r>
      <w:r>
        <w:t xml:space="preserve">: </w:t>
      </w:r>
      <w:r w:rsidRPr="00EA45CF">
        <w:rPr>
          <w:i/>
          <w:iCs/>
        </w:rPr>
        <w:t xml:space="preserve">Hamilton v. Westchester </w:t>
      </w:r>
      <w:r w:rsidR="003D2EE2">
        <w:rPr>
          <w:i/>
          <w:iCs/>
        </w:rPr>
        <w:t>County</w:t>
      </w:r>
      <w:r w:rsidR="00D23EA6">
        <w:t>:</w:t>
      </w:r>
      <w:r w:rsidR="00CD7F4A">
        <w:t xml:space="preserve"> </w:t>
      </w:r>
      <w:r w:rsidR="00D23EA6">
        <w:t xml:space="preserve">“A </w:t>
      </w:r>
      <w:r w:rsidR="00864D3D" w:rsidRPr="00864D3D">
        <w:t xml:space="preserve">plaintiff may base a Title II claim </w:t>
      </w:r>
      <w:r w:rsidR="004F02F8">
        <w:t>‘</w:t>
      </w:r>
      <w:r w:rsidR="00864D3D" w:rsidRPr="00864D3D">
        <w:t>on any of three theories of liability: disparate treatment (intentional discrimination), disparate impact, or failure to make a reasonable accommodation.</w:t>
      </w:r>
      <w:r w:rsidR="004F02F8">
        <w:t>’</w:t>
      </w:r>
      <w:r w:rsidR="00864D3D" w:rsidRPr="00864D3D">
        <w:t>”</w:t>
      </w:r>
      <w:r w:rsidR="000F7945">
        <w:rPr>
          <w:rStyle w:val="FootnoteReference"/>
        </w:rPr>
        <w:footnoteReference w:id="159"/>
      </w:r>
    </w:p>
    <w:p w14:paraId="2E5A541D" w14:textId="14DA8B4C" w:rsidR="00A00355" w:rsidRDefault="00A00355" w:rsidP="00FA4B31">
      <w:pPr>
        <w:pStyle w:val="ListParagraph"/>
      </w:pPr>
      <w:r w:rsidRPr="00E60D04">
        <w:rPr>
          <w:b/>
          <w:bCs/>
        </w:rPr>
        <w:t>Third</w:t>
      </w:r>
      <w:r>
        <w:t>:</w:t>
      </w:r>
      <w:r w:rsidR="00777293">
        <w:t xml:space="preserve"> </w:t>
      </w:r>
      <w:r w:rsidR="006A6B9B" w:rsidRPr="00E60D04">
        <w:rPr>
          <w:i/>
          <w:iCs/>
        </w:rPr>
        <w:t xml:space="preserve">Williams v. </w:t>
      </w:r>
      <w:r w:rsidR="00295F1B">
        <w:rPr>
          <w:i/>
          <w:iCs/>
        </w:rPr>
        <w:t xml:space="preserve">Secretary, </w:t>
      </w:r>
      <w:r w:rsidR="006A6B9B" w:rsidRPr="00E60D04">
        <w:rPr>
          <w:i/>
          <w:iCs/>
        </w:rPr>
        <w:t>Pennsylvania Dep</w:t>
      </w:r>
      <w:r w:rsidR="00295F1B">
        <w:rPr>
          <w:i/>
          <w:iCs/>
        </w:rPr>
        <w:t xml:space="preserve">artment </w:t>
      </w:r>
      <w:r w:rsidR="006A6B9B" w:rsidRPr="00E60D04">
        <w:rPr>
          <w:i/>
          <w:iCs/>
        </w:rPr>
        <w:t>of Cor</w:t>
      </w:r>
      <w:r w:rsidR="00295F1B">
        <w:rPr>
          <w:i/>
          <w:iCs/>
        </w:rPr>
        <w:t>rections</w:t>
      </w:r>
      <w:r w:rsidR="00CC562B">
        <w:t>:</w:t>
      </w:r>
      <w:r w:rsidR="006A6B9B">
        <w:t xml:space="preserve"> </w:t>
      </w:r>
      <w:r w:rsidR="00E60D04">
        <w:t xml:space="preserve">recognizing disparate impact under Title II and </w:t>
      </w:r>
      <w:r w:rsidR="0005344A">
        <w:t>holding that “</w:t>
      </w:r>
      <w:r w:rsidR="0005344A" w:rsidRPr="0005344A">
        <w:t xml:space="preserve">because facially neutral policies may </w:t>
      </w:r>
      <w:r w:rsidR="0005344A">
        <w:t>‘</w:t>
      </w:r>
      <w:r w:rsidR="0005344A" w:rsidRPr="0005344A">
        <w:t>disparately impact people with disabilities,</w:t>
      </w:r>
      <w:r w:rsidR="0005344A">
        <w:t>’</w:t>
      </w:r>
      <w:r w:rsidR="0005344A" w:rsidRPr="0005344A">
        <w:t xml:space="preserve"> </w:t>
      </w:r>
      <w:r w:rsidR="0005344A">
        <w:t>‘</w:t>
      </w:r>
      <w:r w:rsidR="0005344A" w:rsidRPr="0005344A">
        <w:t>a public entity may be required to make reasonable modifications</w:t>
      </w:r>
      <w:r w:rsidR="0005344A">
        <w:t>’</w:t>
      </w:r>
      <w:r w:rsidR="0005344A" w:rsidRPr="0005344A">
        <w:t xml:space="preserve"> to these policies.</w:t>
      </w:r>
      <w:r w:rsidR="0005344A">
        <w:t>”</w:t>
      </w:r>
      <w:r w:rsidR="00CE2E02">
        <w:rPr>
          <w:rStyle w:val="FootnoteReference"/>
        </w:rPr>
        <w:footnoteReference w:id="160"/>
      </w:r>
      <w:r w:rsidR="006A6B9B">
        <w:t xml:space="preserve"> </w:t>
      </w:r>
    </w:p>
    <w:p w14:paraId="3A69EC74" w14:textId="4CEF5C2A" w:rsidR="00A00355" w:rsidRPr="00425301" w:rsidRDefault="00A00355" w:rsidP="00FA4B31">
      <w:pPr>
        <w:pStyle w:val="ListParagraph"/>
      </w:pPr>
      <w:r w:rsidRPr="000F51C4">
        <w:rPr>
          <w:b/>
          <w:bCs/>
        </w:rPr>
        <w:t>Fourth</w:t>
      </w:r>
      <w:r>
        <w:t xml:space="preserve">: </w:t>
      </w:r>
      <w:r w:rsidRPr="00EA45CF">
        <w:rPr>
          <w:i/>
          <w:iCs/>
        </w:rPr>
        <w:t>Richardson v. Clarke</w:t>
      </w:r>
      <w:r w:rsidR="00FA4B31">
        <w:t xml:space="preserve">: </w:t>
      </w:r>
      <w:r w:rsidR="00035B43">
        <w:t>“</w:t>
      </w:r>
      <w:r w:rsidR="00035B43" w:rsidRPr="00035B43">
        <w:t>The ADA permits plaintiffs to pursue three distinct grounds for relief: (1) intentional discrimination or disparate treatment; (2) disparate impact and (3) failure to make reasonable accommodations</w:t>
      </w:r>
      <w:r w:rsidR="00FA4B31">
        <w:t>.”</w:t>
      </w:r>
      <w:r w:rsidR="00F955D7">
        <w:rPr>
          <w:rStyle w:val="FootnoteReference"/>
        </w:rPr>
        <w:footnoteReference w:id="161"/>
      </w:r>
      <w:r w:rsidR="00FA4B31">
        <w:t xml:space="preserve"> </w:t>
      </w:r>
    </w:p>
    <w:p w14:paraId="088CD690" w14:textId="68D51504" w:rsidR="00A00355" w:rsidRPr="00A00355" w:rsidRDefault="00A00355" w:rsidP="00FA4B31">
      <w:pPr>
        <w:pStyle w:val="ListParagraph"/>
      </w:pPr>
      <w:r w:rsidRPr="008A08BD">
        <w:rPr>
          <w:b/>
          <w:bCs/>
        </w:rPr>
        <w:t>Fifth</w:t>
      </w:r>
      <w:r w:rsidRPr="00A00355">
        <w:t>:</w:t>
      </w:r>
      <w:r w:rsidR="00D446A9">
        <w:t xml:space="preserve"> </w:t>
      </w:r>
      <w:r w:rsidR="00B77595" w:rsidRPr="00B77595">
        <w:rPr>
          <w:i/>
          <w:iCs/>
        </w:rPr>
        <w:t>Carter v. City of Shreveport</w:t>
      </w:r>
      <w:r w:rsidR="00F955D7">
        <w:t xml:space="preserve">: </w:t>
      </w:r>
      <w:r w:rsidR="00B77595">
        <w:t>“[B]</w:t>
      </w:r>
      <w:proofErr w:type="spellStart"/>
      <w:r w:rsidR="00B77595">
        <w:t>oth</w:t>
      </w:r>
      <w:proofErr w:type="spellEnd"/>
      <w:r w:rsidR="00B77595">
        <w:t xml:space="preserve"> the ADA and the Rehabilitation Act impose upon public entities an affirmative obligation to make reasonable accommodations for disabled individuals.”</w:t>
      </w:r>
      <w:r w:rsidR="00F955D7">
        <w:rPr>
          <w:rStyle w:val="FootnoteReference"/>
        </w:rPr>
        <w:footnoteReference w:id="162"/>
      </w:r>
    </w:p>
    <w:p w14:paraId="7CFD0107" w14:textId="3B276990" w:rsidR="00A00355" w:rsidRPr="00A00355" w:rsidRDefault="00A00355" w:rsidP="00FA4B31">
      <w:pPr>
        <w:pStyle w:val="ListParagraph"/>
      </w:pPr>
      <w:r w:rsidRPr="00A2401E">
        <w:rPr>
          <w:b/>
          <w:bCs/>
        </w:rPr>
        <w:t>Seventh</w:t>
      </w:r>
      <w:r w:rsidRPr="00A00355">
        <w:t>:</w:t>
      </w:r>
      <w:r w:rsidR="00A2401E">
        <w:t xml:space="preserve"> </w:t>
      </w:r>
      <w:r w:rsidR="00A2401E" w:rsidRPr="00295F1B">
        <w:rPr>
          <w:i/>
          <w:iCs/>
        </w:rPr>
        <w:t>Brown v. Meisner</w:t>
      </w:r>
      <w:r w:rsidR="0032036E">
        <w:t xml:space="preserve">: </w:t>
      </w:r>
      <w:r w:rsidR="00A2401E">
        <w:t>“An allegation that the defendants failed to make reasonable accommodations can state a violation of Title II of the ADA.”</w:t>
      </w:r>
      <w:r w:rsidR="00F955D7">
        <w:rPr>
          <w:rStyle w:val="FootnoteReference"/>
        </w:rPr>
        <w:footnoteReference w:id="163"/>
      </w:r>
    </w:p>
    <w:p w14:paraId="3EB75B58" w14:textId="30666C5B" w:rsidR="006A215F" w:rsidRPr="00A00355" w:rsidRDefault="00A00355" w:rsidP="00FA4B31">
      <w:pPr>
        <w:pStyle w:val="ListParagraph"/>
      </w:pPr>
      <w:r w:rsidRPr="007B0C25">
        <w:rPr>
          <w:b/>
          <w:bCs/>
        </w:rPr>
        <w:t>Eighth</w:t>
      </w:r>
      <w:r w:rsidRPr="00A00355">
        <w:t>:</w:t>
      </w:r>
      <w:r w:rsidR="00D453EA">
        <w:t xml:space="preserve"> </w:t>
      </w:r>
      <w:r w:rsidR="00D453EA" w:rsidRPr="009A1545">
        <w:rPr>
          <w:i/>
          <w:iCs/>
        </w:rPr>
        <w:t>Hall v. Higgins</w:t>
      </w:r>
      <w:r w:rsidR="000526AB">
        <w:t>:</w:t>
      </w:r>
      <w:r w:rsidR="00D453EA">
        <w:t xml:space="preserve"> “The failure to make reasonable accommodations </w:t>
      </w:r>
      <w:r w:rsidR="006A215F">
        <w:t>‘</w:t>
      </w:r>
      <w:r w:rsidR="00D453EA">
        <w:t>is a separate form of prohibited discrimination</w:t>
      </w:r>
      <w:r w:rsidR="006A215F">
        <w:t>.’ . . .</w:t>
      </w:r>
      <w:r w:rsidR="006A215F" w:rsidRPr="00C72172">
        <w:rPr>
          <w:rFonts w:eastAsia="Times New Roman" w:cs="Times New Roman"/>
          <w:color w:val="000000"/>
          <w:kern w:val="0"/>
          <w14:ligatures w14:val="none"/>
        </w:rPr>
        <w:t xml:space="preserve"> </w:t>
      </w:r>
      <w:r w:rsidR="006A215F" w:rsidRPr="006A215F">
        <w:t xml:space="preserve">a public entity must make reasonable accommodations where necessary to give </w:t>
      </w:r>
      <w:r w:rsidR="007B0C25">
        <w:t>‘</w:t>
      </w:r>
      <w:r w:rsidR="006A215F" w:rsidRPr="006A215F">
        <w:t>meaningful access</w:t>
      </w:r>
      <w:r w:rsidR="007B0C25">
        <w:t>’</w:t>
      </w:r>
      <w:r w:rsidR="006A215F" w:rsidRPr="006A215F">
        <w:t xml:space="preserve"> to programs or benefits</w:t>
      </w:r>
      <w:r w:rsidR="007B0C25">
        <w:t>. . ..”</w:t>
      </w:r>
      <w:r w:rsidR="00F955D7">
        <w:rPr>
          <w:rStyle w:val="FootnoteReference"/>
        </w:rPr>
        <w:footnoteReference w:id="164"/>
      </w:r>
    </w:p>
    <w:p w14:paraId="15EEAE84" w14:textId="1A05D24C" w:rsidR="00A00355" w:rsidRDefault="00A00355" w:rsidP="00FA4B31">
      <w:pPr>
        <w:pStyle w:val="ListParagraph"/>
      </w:pPr>
      <w:r w:rsidRPr="000F51C4">
        <w:rPr>
          <w:b/>
          <w:bCs/>
        </w:rPr>
        <w:lastRenderedPageBreak/>
        <w:t>Ninth</w:t>
      </w:r>
      <w:r>
        <w:t xml:space="preserve">: </w:t>
      </w:r>
      <w:r w:rsidRPr="00EA45CF">
        <w:rPr>
          <w:i/>
          <w:iCs/>
        </w:rPr>
        <w:t xml:space="preserve">Payan v. </w:t>
      </w:r>
      <w:r w:rsidR="00295F1B">
        <w:rPr>
          <w:i/>
          <w:iCs/>
        </w:rPr>
        <w:t>Los Angeles Community College District</w:t>
      </w:r>
      <w:r w:rsidR="00B312D2">
        <w:t>:</w:t>
      </w:r>
      <w:r w:rsidRPr="00A00355">
        <w:t xml:space="preserve"> </w:t>
      </w:r>
      <w:r w:rsidR="00902474">
        <w:t>“</w:t>
      </w:r>
      <w:r w:rsidR="00902474" w:rsidRPr="00902474">
        <w:t xml:space="preserve">A disability discrimination claim may be based on </w:t>
      </w:r>
      <w:r w:rsidR="00C96CA3">
        <w:t>‘</w:t>
      </w:r>
      <w:r w:rsidR="00902474" w:rsidRPr="00902474">
        <w:t>one of three theories of liability: disparate treatment, disparate impact, or failure to make a reasonable accommodation.</w:t>
      </w:r>
      <w:r w:rsidR="00C96CA3">
        <w:t>’</w:t>
      </w:r>
      <w:r w:rsidR="00902474" w:rsidRPr="00902474">
        <w:t>”</w:t>
      </w:r>
      <w:r w:rsidR="00F955D7" w:rsidRPr="00F955D7">
        <w:rPr>
          <w:rStyle w:val="FootnoteReference"/>
        </w:rPr>
        <w:t xml:space="preserve"> </w:t>
      </w:r>
      <w:r w:rsidR="00F955D7">
        <w:rPr>
          <w:rStyle w:val="FootnoteReference"/>
        </w:rPr>
        <w:footnoteReference w:id="165"/>
      </w:r>
    </w:p>
    <w:p w14:paraId="0F0960C5" w14:textId="4879BAFA" w:rsidR="00B4677E" w:rsidRDefault="00A00355" w:rsidP="00E5773A">
      <w:pPr>
        <w:pStyle w:val="ListParagraph"/>
      </w:pPr>
      <w:r w:rsidRPr="001D747B">
        <w:rPr>
          <w:b/>
          <w:bCs/>
        </w:rPr>
        <w:t>Tenth</w:t>
      </w:r>
      <w:r>
        <w:t xml:space="preserve">: </w:t>
      </w:r>
      <w:r w:rsidR="00C913CA" w:rsidRPr="001D747B">
        <w:rPr>
          <w:i/>
          <w:iCs/>
        </w:rPr>
        <w:t>Chaffin v. Kansas State Fair B</w:t>
      </w:r>
      <w:r w:rsidR="00333B72" w:rsidRPr="001D747B">
        <w:rPr>
          <w:i/>
          <w:iCs/>
        </w:rPr>
        <w:t>oar</w:t>
      </w:r>
      <w:r w:rsidR="00C913CA" w:rsidRPr="001D747B">
        <w:rPr>
          <w:i/>
          <w:iCs/>
        </w:rPr>
        <w:t>d</w:t>
      </w:r>
      <w:r w:rsidR="0002652E">
        <w:t xml:space="preserve">: </w:t>
      </w:r>
      <w:r w:rsidR="00C913CA">
        <w:t>holding that</w:t>
      </w:r>
      <w:r w:rsidR="00F8474D">
        <w:t>,</w:t>
      </w:r>
      <w:r w:rsidR="001D747B">
        <w:t xml:space="preserve"> “</w:t>
      </w:r>
      <w:r w:rsidR="001D747B" w:rsidRPr="001D747B">
        <w:t xml:space="preserve">although the conduct regulated by Title VI </w:t>
      </w:r>
      <w:r w:rsidR="001D747B">
        <w:t xml:space="preserve">. . . </w:t>
      </w:r>
      <w:r w:rsidR="001D747B" w:rsidRPr="001D747B">
        <w:t>is limited to intentional discrimination, Congress sought with § 504</w:t>
      </w:r>
      <w:r w:rsidR="001D747B">
        <w:t xml:space="preserve"> – </w:t>
      </w:r>
      <w:r w:rsidR="001D747B" w:rsidRPr="001D747B">
        <w:t>and consequently with Title II of the AD</w:t>
      </w:r>
      <w:r w:rsidR="001D747B">
        <w:t xml:space="preserve">A – </w:t>
      </w:r>
      <w:r w:rsidR="001D747B" w:rsidRPr="001D747B">
        <w:t>to remedy a broad,</w:t>
      </w:r>
      <w:r w:rsidR="001D747B">
        <w:t xml:space="preserve"> </w:t>
      </w:r>
      <w:r w:rsidR="001D747B" w:rsidRPr="001D747B">
        <w:t>comprehensive concept of discrimination against individuals with disabilities, including disparate impact discrimination.</w:t>
      </w:r>
      <w:r w:rsidR="001D747B">
        <w:t>”</w:t>
      </w:r>
      <w:r w:rsidR="00F955D7" w:rsidRPr="00F955D7">
        <w:rPr>
          <w:rStyle w:val="FootnoteReference"/>
          <w:i/>
          <w:iCs/>
        </w:rPr>
        <w:t xml:space="preserve"> </w:t>
      </w:r>
      <w:r w:rsidR="00F955D7" w:rsidRPr="00F955D7">
        <w:rPr>
          <w:rStyle w:val="FootnoteReference"/>
        </w:rPr>
        <w:footnoteReference w:id="166"/>
      </w:r>
      <w:r w:rsidR="00997302" w:rsidRPr="00F955D7">
        <w:t xml:space="preserve"> </w:t>
      </w:r>
    </w:p>
    <w:p w14:paraId="679578A2" w14:textId="5A576FE0" w:rsidR="0083437F" w:rsidRDefault="00AA1481" w:rsidP="00FA4B31">
      <w:pPr>
        <w:pStyle w:val="ListParagraph"/>
      </w:pPr>
      <w:r w:rsidRPr="000B741E">
        <w:rPr>
          <w:b/>
          <w:bCs/>
        </w:rPr>
        <w:t>Eleventh</w:t>
      </w:r>
      <w:r w:rsidR="003528E2">
        <w:t xml:space="preserve">: </w:t>
      </w:r>
      <w:r w:rsidR="005F7D5E" w:rsidRPr="000B741E">
        <w:rPr>
          <w:i/>
          <w:iCs/>
        </w:rPr>
        <w:t>Ellard v. Cannon</w:t>
      </w:r>
      <w:r w:rsidR="000818B8">
        <w:t>:</w:t>
      </w:r>
      <w:r w:rsidR="005F7D5E">
        <w:t xml:space="preserve"> </w:t>
      </w:r>
      <w:r w:rsidR="009D1302">
        <w:t>A Title II “claim may</w:t>
      </w:r>
      <w:r w:rsidR="00071411">
        <w:t xml:space="preserve"> </w:t>
      </w:r>
      <w:r w:rsidR="009D1302">
        <w:t>. . .</w:t>
      </w:r>
      <w:r w:rsidR="005F7D5E">
        <w:t xml:space="preserve"> proceed under the theory that the defendant failed to provide reasonable accommodations for the plaintiff's disability.</w:t>
      </w:r>
      <w:r w:rsidR="009D1302">
        <w:t>”</w:t>
      </w:r>
      <w:r w:rsidR="00F955D7" w:rsidRPr="00F955D7">
        <w:rPr>
          <w:rStyle w:val="FootnoteReference"/>
        </w:rPr>
        <w:t xml:space="preserve"> </w:t>
      </w:r>
      <w:r w:rsidR="00F955D7">
        <w:rPr>
          <w:rStyle w:val="FootnoteReference"/>
        </w:rPr>
        <w:footnoteReference w:id="167"/>
      </w:r>
    </w:p>
    <w:p w14:paraId="500251DD" w14:textId="770CF1D6" w:rsidR="00E8326C" w:rsidRDefault="00A00355" w:rsidP="00E8326C">
      <w:pPr>
        <w:pStyle w:val="ListParagraph"/>
      </w:pPr>
      <w:r w:rsidRPr="001D5831">
        <w:rPr>
          <w:b/>
          <w:bCs/>
        </w:rPr>
        <w:t>District of Columbia</w:t>
      </w:r>
      <w:r>
        <w:t xml:space="preserve">: </w:t>
      </w:r>
      <w:r w:rsidR="00523A75" w:rsidRPr="001D5831">
        <w:rPr>
          <w:i/>
          <w:iCs/>
        </w:rPr>
        <w:t>Brown v. District of Columbia</w:t>
      </w:r>
      <w:r w:rsidR="000818B8">
        <w:t>:</w:t>
      </w:r>
      <w:r w:rsidR="00523A75">
        <w:t xml:space="preserve"> holding that a</w:t>
      </w:r>
      <w:r w:rsidR="00196F8F">
        <w:t xml:space="preserve"> city violates the </w:t>
      </w:r>
      <w:r w:rsidR="00524ED7">
        <w:t>ADA “</w:t>
      </w:r>
      <w:r w:rsidR="00524ED7" w:rsidRPr="00524ED7">
        <w:t>if it cares for a mentally or physically disabled individual in a nursing home notwithstanding, with reasonable modifications to its policies and procedures, it could care for that individual in the communit</w:t>
      </w:r>
      <w:r w:rsidR="00524ED7">
        <w:t>y</w:t>
      </w:r>
      <w:r w:rsidR="000818B8">
        <w:t>.</w:t>
      </w:r>
      <w:r w:rsidR="00524ED7">
        <w:t xml:space="preserve">” </w:t>
      </w:r>
      <w:r w:rsidR="00F955D7">
        <w:rPr>
          <w:rStyle w:val="FootnoteReference"/>
        </w:rPr>
        <w:footnoteReference w:id="168"/>
      </w:r>
    </w:p>
    <w:p w14:paraId="5A475A89" w14:textId="05B794BD" w:rsidR="00E8326C" w:rsidRDefault="00E8326C" w:rsidP="00BF7410">
      <w:pPr>
        <w:pStyle w:val="BodyText"/>
      </w:pPr>
      <w:r>
        <w:t>Many circuits</w:t>
      </w:r>
      <w:r w:rsidR="008D188E">
        <w:rPr>
          <w:rStyle w:val="FootnoteReference"/>
        </w:rPr>
        <w:footnoteReference w:id="169"/>
      </w:r>
      <w:r>
        <w:t xml:space="preserve"> have also held that Section 12132 requires </w:t>
      </w:r>
      <w:r w:rsidR="003763FC">
        <w:t>public entities to ensure that new and altered facilities are accessible and</w:t>
      </w:r>
      <w:r w:rsidR="00680954">
        <w:t xml:space="preserve"> that</w:t>
      </w:r>
      <w:r w:rsidR="003763FC">
        <w:t xml:space="preserve">, in older facilities, </w:t>
      </w:r>
      <w:r w:rsidR="00D63C69">
        <w:t>“</w:t>
      </w:r>
      <w:r w:rsidR="00D63C69" w:rsidRPr="00D63C69">
        <w:t xml:space="preserve">each service, program, or activity </w:t>
      </w:r>
      <w:r w:rsidR="00D63C69">
        <w:t>. . .</w:t>
      </w:r>
      <w:r w:rsidR="00071411">
        <w:t xml:space="preserve"> </w:t>
      </w:r>
      <w:r w:rsidR="00D63C69" w:rsidRPr="00D63C69">
        <w:t>when viewed in its entirety, is readily accessible to and usable by individuals with disabilities.</w:t>
      </w:r>
      <w:r w:rsidR="00D63C69">
        <w:t>”</w:t>
      </w:r>
      <w:r w:rsidR="00A10A71">
        <w:rPr>
          <w:rStyle w:val="FootnoteReference"/>
        </w:rPr>
        <w:footnoteReference w:id="170"/>
      </w:r>
      <w:r w:rsidR="00680954">
        <w:t xml:space="preserve"> </w:t>
      </w:r>
    </w:p>
    <w:p w14:paraId="5AB6F06A" w14:textId="0A5969D0" w:rsidR="00005ABA" w:rsidRPr="007036D7" w:rsidRDefault="00005ABA" w:rsidP="00FA4B31">
      <w:pPr>
        <w:pStyle w:val="Heading1"/>
      </w:pPr>
      <w:bookmarkStart w:id="6" w:name="_Remedies_and_Private"/>
      <w:bookmarkEnd w:id="6"/>
      <w:r w:rsidRPr="007036D7">
        <w:lastRenderedPageBreak/>
        <w:t>Remedies</w:t>
      </w:r>
      <w:r>
        <w:t xml:space="preserve"> and Private Rights of Action</w:t>
      </w:r>
      <w:r w:rsidR="0067667C">
        <w:t>.</w:t>
      </w:r>
    </w:p>
    <w:p w14:paraId="665B09B2" w14:textId="1B009AE0" w:rsidR="00005ABA" w:rsidRDefault="00005ABA" w:rsidP="00C2028C">
      <w:pPr>
        <w:pStyle w:val="BodyText"/>
      </w:pPr>
      <w:r>
        <w:t xml:space="preserve">In </w:t>
      </w:r>
      <w:r w:rsidRPr="008B3F02">
        <w:rPr>
          <w:i/>
          <w:iCs/>
        </w:rPr>
        <w:t>Alexander v. Sandoval</w:t>
      </w:r>
      <w:r>
        <w:t xml:space="preserve">, the Supreme Court held that, while there was a private right of action to enforce Title VI, that right did not extend to implementing regulations that </w:t>
      </w:r>
      <w:r w:rsidR="004C344A">
        <w:t xml:space="preserve">went </w:t>
      </w:r>
      <w:r>
        <w:t xml:space="preserve">beyond the prohibition on discrimination in the text of </w:t>
      </w:r>
      <w:r w:rsidR="00EA7D99">
        <w:t>that statute</w:t>
      </w:r>
      <w:r>
        <w:t>, that is, regulations that “forbid conduct that [Title VI] permits.”</w:t>
      </w:r>
      <w:r>
        <w:rPr>
          <w:rStyle w:val="FootnoteReference"/>
        </w:rPr>
        <w:footnoteReference w:id="171"/>
      </w:r>
      <w:r>
        <w:t xml:space="preserve"> </w:t>
      </w:r>
      <w:r w:rsidR="00597062">
        <w:t xml:space="preserve">Specifically, relying on its earlier decision in </w:t>
      </w:r>
      <w:r w:rsidR="00597062" w:rsidRPr="0081668F">
        <w:rPr>
          <w:i/>
          <w:iCs/>
        </w:rPr>
        <w:t>Guardians</w:t>
      </w:r>
      <w:r w:rsidR="00597062">
        <w:t>, the Court held that, since the text of Title VI only prohibits intentional discrimination, there is thus no private right of action to challenge conduct violating regulations that prohibit disparate impact discrimination</w:t>
      </w:r>
      <w:r>
        <w:t>.</w:t>
      </w:r>
      <w:r>
        <w:rPr>
          <w:rStyle w:val="FootnoteReference"/>
        </w:rPr>
        <w:footnoteReference w:id="172"/>
      </w:r>
    </w:p>
    <w:p w14:paraId="25950AF4" w14:textId="57B4378C" w:rsidR="00005ABA" w:rsidRDefault="00AD77F1" w:rsidP="00C2028C">
      <w:pPr>
        <w:pStyle w:val="BodyText"/>
      </w:pPr>
      <w:r>
        <w:t xml:space="preserve">Under the logic of </w:t>
      </w:r>
      <w:r w:rsidRPr="00AD77F1">
        <w:rPr>
          <w:i/>
          <w:iCs/>
        </w:rPr>
        <w:t>Sandoval</w:t>
      </w:r>
      <w:r>
        <w:t>, t</w:t>
      </w:r>
      <w:r w:rsidR="00005ABA">
        <w:t xml:space="preserve">he question whether there is a private right of action under </w:t>
      </w:r>
      <w:r w:rsidR="00EC0B0C">
        <w:t>Section 12132</w:t>
      </w:r>
      <w:r w:rsidR="00005ABA">
        <w:t xml:space="preserve"> to enforce </w:t>
      </w:r>
      <w:r w:rsidR="006763A5">
        <w:t xml:space="preserve">the </w:t>
      </w:r>
      <w:r w:rsidR="00E95BD2">
        <w:t>DOJ’s</w:t>
      </w:r>
      <w:r w:rsidR="00005ABA">
        <w:t xml:space="preserve"> implementing regulations – including those that prohibit various forms of unintentional discrimination – is ultimately the question whether </w:t>
      </w:r>
      <w:r w:rsidR="007E555F">
        <w:t>the text of Section 12132</w:t>
      </w:r>
      <w:r w:rsidR="00005ABA">
        <w:t xml:space="preserve"> prohibits such discrimination.</w:t>
      </w:r>
      <w:r w:rsidR="003D2219">
        <w:t xml:space="preserve"> </w:t>
      </w:r>
      <w:r w:rsidR="00005ABA">
        <w:t xml:space="preserve">As the </w:t>
      </w:r>
      <w:r w:rsidR="00EC0B0C">
        <w:t xml:space="preserve">previous sections </w:t>
      </w:r>
      <w:r w:rsidR="00005ABA">
        <w:t>of this post</w:t>
      </w:r>
      <w:r w:rsidR="00E95BD2">
        <w:t xml:space="preserve"> have</w:t>
      </w:r>
      <w:r w:rsidR="00005ABA">
        <w:t xml:space="preserve"> </w:t>
      </w:r>
      <w:r w:rsidR="00EC0B0C">
        <w:t xml:space="preserve">made </w:t>
      </w:r>
      <w:r w:rsidR="00005ABA">
        <w:t>clear, it does.</w:t>
      </w:r>
      <w:r w:rsidR="003D2219">
        <w:t xml:space="preserve"> </w:t>
      </w:r>
      <w:r w:rsidR="00E95BD2">
        <w:t xml:space="preserve">Given the whole text of the ADA, </w:t>
      </w:r>
      <w:r w:rsidR="00824648">
        <w:t xml:space="preserve">its </w:t>
      </w:r>
      <w:r w:rsidR="00E95BD2">
        <w:t xml:space="preserve">legislative history, and 40 years of </w:t>
      </w:r>
      <w:r w:rsidR="005C578B">
        <w:t xml:space="preserve">precedent, it is clear that </w:t>
      </w:r>
      <w:r w:rsidR="00021FF0">
        <w:t>regulations</w:t>
      </w:r>
      <w:r w:rsidR="00787F60">
        <w:t xml:space="preserve"> </w:t>
      </w:r>
      <w:r w:rsidR="00021FF0">
        <w:t xml:space="preserve">implementing </w:t>
      </w:r>
      <w:r w:rsidR="00E967E3">
        <w:t xml:space="preserve">Section 12132 – at least to the extent they </w:t>
      </w:r>
      <w:r w:rsidR="00DB328B">
        <w:t xml:space="preserve">track Section 504, its regulations, and the interpretation of both in 1990 – </w:t>
      </w:r>
      <w:r w:rsidR="001F18C6">
        <w:t>require and prohibit precisely what the statutory text does</w:t>
      </w:r>
      <w:r w:rsidR="00787F60">
        <w:t>.</w:t>
      </w:r>
      <w:r w:rsidR="00071411">
        <w:t xml:space="preserve"> </w:t>
      </w:r>
    </w:p>
    <w:p w14:paraId="61D1F2A1" w14:textId="719E309B" w:rsidR="00005ABA" w:rsidRDefault="004C344A" w:rsidP="0005770A">
      <w:pPr>
        <w:pStyle w:val="BodyText"/>
      </w:pPr>
      <w:r>
        <w:t xml:space="preserve">The </w:t>
      </w:r>
      <w:r w:rsidRPr="004C344A">
        <w:rPr>
          <w:i/>
          <w:iCs/>
        </w:rPr>
        <w:t>Reinhart</w:t>
      </w:r>
      <w:r>
        <w:t xml:space="preserve"> Concurrence bases its </w:t>
      </w:r>
      <w:r w:rsidR="00005ABA">
        <w:t>argument to the contrary in large part on</w:t>
      </w:r>
      <w:r w:rsidR="00FC6A23">
        <w:t xml:space="preserve"> the fact that </w:t>
      </w:r>
      <w:r w:rsidR="00D63DE8">
        <w:t>Section 12132’s</w:t>
      </w:r>
      <w:r w:rsidR="00FC6A23">
        <w:t xml:space="preserve"> remedies provision (Section 12133)</w:t>
      </w:r>
      <w:r w:rsidR="00BD6CD8">
        <w:t>,</w:t>
      </w:r>
      <w:r w:rsidR="00FC6A23">
        <w:t xml:space="preserve"> incorporates Section 504’s remedies provision </w:t>
      </w:r>
      <w:r w:rsidR="00BD6CD8">
        <w:t>(Section 505)</w:t>
      </w:r>
      <w:r w:rsidR="00F36C2E">
        <w:t xml:space="preserve"> which, in turn, incorporates </w:t>
      </w:r>
      <w:r w:rsidR="002C0393">
        <w:t xml:space="preserve">the remedies of Title VI. From this </w:t>
      </w:r>
      <w:r w:rsidR="002102C2">
        <w:t>two-step incorporation of remedies</w:t>
      </w:r>
      <w:r w:rsidR="007705FC">
        <w:t>,</w:t>
      </w:r>
      <w:r w:rsidR="002102C2">
        <w:t xml:space="preserve"> </w:t>
      </w:r>
      <w:r w:rsidR="00DC1074">
        <w:t xml:space="preserve">the Concurrence concludes that Section 12132 </w:t>
      </w:r>
      <w:r w:rsidR="00DC1074">
        <w:lastRenderedPageBreak/>
        <w:t xml:space="preserve">must incorporate the </w:t>
      </w:r>
      <w:r w:rsidR="00DC1074" w:rsidRPr="00DC1074">
        <w:rPr>
          <w:i/>
          <w:iCs/>
        </w:rPr>
        <w:t>substantive</w:t>
      </w:r>
      <w:r w:rsidR="00DC1074">
        <w:rPr>
          <w:i/>
          <w:iCs/>
        </w:rPr>
        <w:t xml:space="preserve"> </w:t>
      </w:r>
      <w:r w:rsidR="00DC1074">
        <w:t>limitations of Title VI.</w:t>
      </w:r>
      <w:r w:rsidR="00071411">
        <w:t xml:space="preserve"> </w:t>
      </w:r>
      <w:r w:rsidR="0005770A">
        <w:t>The Concurrence</w:t>
      </w:r>
      <w:r w:rsidR="00B27020">
        <w:t xml:space="preserve"> provides no support for this. </w:t>
      </w:r>
      <w:r w:rsidR="00B472F2">
        <w:t xml:space="preserve">Indeed, </w:t>
      </w:r>
      <w:r w:rsidR="00005ABA" w:rsidRPr="00811663">
        <w:t>the</w:t>
      </w:r>
      <w:r w:rsidR="00005ABA">
        <w:t xml:space="preserve">se </w:t>
      </w:r>
      <w:r w:rsidR="00005ABA" w:rsidRPr="00811663">
        <w:t>substantive antidiscrimination provisions</w:t>
      </w:r>
      <w:r w:rsidR="00005ABA">
        <w:t xml:space="preserve"> </w:t>
      </w:r>
      <w:r w:rsidR="00005ABA" w:rsidRPr="00811663">
        <w:t xml:space="preserve">– Section 504 and Section 12132 – do not incorporate or reference Title VI. As discussed </w:t>
      </w:r>
      <w:r w:rsidR="00B472F2">
        <w:t>above</w:t>
      </w:r>
      <w:r w:rsidR="00005ABA" w:rsidRPr="00811663">
        <w:t xml:space="preserve">, the substantive rights conferred and protected by Section 504 and (later) Section 12132 developed along a separate path from those in Title VI, and the Court has cautioned on several occasions that these two paths should not be </w:t>
      </w:r>
      <w:r w:rsidR="0003274C">
        <w:t>conflated</w:t>
      </w:r>
      <w:r w:rsidR="00005ABA" w:rsidRPr="00811663">
        <w:t>.</w:t>
      </w:r>
      <w:r w:rsidR="00A55CD7">
        <w:rPr>
          <w:rStyle w:val="FootnoteReference"/>
        </w:rPr>
        <w:footnoteReference w:id="173"/>
      </w:r>
    </w:p>
    <w:p w14:paraId="3FFC5BDD" w14:textId="6946801E" w:rsidR="00D76263" w:rsidRDefault="00F27FE7" w:rsidP="00033244">
      <w:pPr>
        <w:pStyle w:val="BodyText"/>
      </w:pPr>
      <w:r>
        <w:t xml:space="preserve">The </w:t>
      </w:r>
      <w:r w:rsidR="00376324">
        <w:t xml:space="preserve">Supreme </w:t>
      </w:r>
      <w:r>
        <w:t xml:space="preserve">Court has held, in an analogous situation, that </w:t>
      </w:r>
      <w:r w:rsidR="004E48E9">
        <w:t xml:space="preserve">Section 505’s incorporation of Title VI's remedies </w:t>
      </w:r>
      <w:r w:rsidR="00612A02">
        <w:t xml:space="preserve">does not incorporate </w:t>
      </w:r>
      <w:r w:rsidR="00BF588F">
        <w:t>Title VI’s</w:t>
      </w:r>
      <w:r w:rsidR="00612A02">
        <w:t xml:space="preserve"> substantive limitations</w:t>
      </w:r>
      <w:r w:rsidR="0093178F">
        <w:t xml:space="preserve"> into Section 504</w:t>
      </w:r>
      <w:r w:rsidR="00612A02">
        <w:t>.</w:t>
      </w:r>
      <w:r w:rsidR="00C42BF2">
        <w:t xml:space="preserve"> The plaintiff</w:t>
      </w:r>
      <w:r w:rsidR="003F06AA">
        <w:t>-respondent</w:t>
      </w:r>
      <w:r w:rsidR="00C42BF2">
        <w:t xml:space="preserve"> in </w:t>
      </w:r>
      <w:r w:rsidR="00C42BF2" w:rsidRPr="003F06AA">
        <w:rPr>
          <w:i/>
          <w:iCs/>
        </w:rPr>
        <w:t>Darrone</w:t>
      </w:r>
      <w:r w:rsidR="00C42BF2">
        <w:t xml:space="preserve"> </w:t>
      </w:r>
      <w:r w:rsidR="000A72F5">
        <w:t xml:space="preserve">sued </w:t>
      </w:r>
      <w:r w:rsidR="003F06AA" w:rsidRPr="003F06AA">
        <w:t>Consolidated Rail Corporation</w:t>
      </w:r>
      <w:r w:rsidR="003F06AA">
        <w:t xml:space="preserve"> (“Conrail”) </w:t>
      </w:r>
      <w:r w:rsidR="008C6A76">
        <w:t xml:space="preserve">under Section 504 </w:t>
      </w:r>
      <w:r w:rsidR="003F06AA">
        <w:t xml:space="preserve">for disability discrimination in employment. </w:t>
      </w:r>
      <w:r w:rsidR="009D0EC1">
        <w:t xml:space="preserve">Conrail received federal funding but argued that </w:t>
      </w:r>
      <w:r w:rsidR="008C6A76">
        <w:t xml:space="preserve">the claim was barred by analogy to the provision of Title VI </w:t>
      </w:r>
      <w:r w:rsidR="00747D0B">
        <w:t xml:space="preserve">that </w:t>
      </w:r>
      <w:r w:rsidR="00994331">
        <w:t xml:space="preserve">limits employment claims </w:t>
      </w:r>
      <w:r w:rsidR="00585F59">
        <w:t xml:space="preserve">to those </w:t>
      </w:r>
      <w:r w:rsidR="008E4821">
        <w:t>involving programs in which “a primary objective of the Federal financial assistance is to provide employment.”</w:t>
      </w:r>
      <w:r w:rsidR="008E4821">
        <w:rPr>
          <w:rStyle w:val="FootnoteReference"/>
        </w:rPr>
        <w:footnoteReference w:id="174"/>
      </w:r>
      <w:r w:rsidR="008D75F1">
        <w:t xml:space="preserve"> </w:t>
      </w:r>
      <w:r w:rsidR="00033244">
        <w:t xml:space="preserve">Conrail </w:t>
      </w:r>
      <w:r w:rsidR="00CF2609">
        <w:t xml:space="preserve">argued that the fact that Section 505 incorporated Title VI’s remedies meant that Section 504 </w:t>
      </w:r>
      <w:r w:rsidR="002E200C">
        <w:t>shared</w:t>
      </w:r>
      <w:r w:rsidR="00CF2609">
        <w:t xml:space="preserve"> th</w:t>
      </w:r>
      <w:r w:rsidR="00E9140D">
        <w:t xml:space="preserve">at statute’s “primary objective” limitation. </w:t>
      </w:r>
      <w:r w:rsidR="00376324">
        <w:t xml:space="preserve">The </w:t>
      </w:r>
      <w:r w:rsidR="00033244">
        <w:t xml:space="preserve">Supreme </w:t>
      </w:r>
      <w:r w:rsidR="00376324">
        <w:t xml:space="preserve">Court </w:t>
      </w:r>
      <w:r w:rsidR="00033244">
        <w:t>rejected this argument, holding</w:t>
      </w:r>
      <w:r w:rsidR="00376324">
        <w:t xml:space="preserve"> that “</w:t>
      </w:r>
      <w:r w:rsidR="000315B8">
        <w:t>[</w:t>
      </w:r>
      <w:proofErr w:type="spellStart"/>
      <w:r w:rsidR="000315B8">
        <w:t>i</w:t>
      </w:r>
      <w:proofErr w:type="spellEnd"/>
      <w:r w:rsidR="000315B8">
        <w:t>]</w:t>
      </w:r>
      <w:r w:rsidR="000315B8" w:rsidRPr="000315B8">
        <w:t xml:space="preserve">t is clear that § 504 itself contains no such limitation. </w:t>
      </w:r>
      <w:r w:rsidR="000315B8" w:rsidRPr="0088636F">
        <w:rPr>
          <w:b/>
          <w:bCs/>
        </w:rPr>
        <w:t xml:space="preserve">Section 504 neither refers explicitly to </w:t>
      </w:r>
      <w:r w:rsidR="0056242F" w:rsidRPr="00430A6C">
        <w:rPr>
          <w:b/>
          <w:bCs/>
        </w:rPr>
        <w:t>[the primary objective limitation]</w:t>
      </w:r>
      <w:r w:rsidR="00B600A6">
        <w:t xml:space="preserve"> </w:t>
      </w:r>
      <w:r w:rsidR="000315B8" w:rsidRPr="0088636F">
        <w:rPr>
          <w:b/>
          <w:bCs/>
        </w:rPr>
        <w:t>nor contains analogous limiting language</w:t>
      </w:r>
      <w:r w:rsidR="000315B8">
        <w:t>.”</w:t>
      </w:r>
      <w:r w:rsidR="000315B8">
        <w:rPr>
          <w:rStyle w:val="FootnoteReference"/>
        </w:rPr>
        <w:footnoteReference w:id="175"/>
      </w:r>
      <w:r w:rsidR="00071411">
        <w:t xml:space="preserve"> </w:t>
      </w:r>
    </w:p>
    <w:p w14:paraId="2AD433FF" w14:textId="3D391B2D" w:rsidR="00695DD3" w:rsidRDefault="005838F0" w:rsidP="005838F0">
      <w:pPr>
        <w:pStyle w:val="BodyText"/>
      </w:pPr>
      <w:r>
        <w:lastRenderedPageBreak/>
        <w:t xml:space="preserve">In the </w:t>
      </w:r>
      <w:proofErr w:type="spellStart"/>
      <w:r w:rsidRPr="002E023B">
        <w:rPr>
          <w:i/>
          <w:iCs/>
        </w:rPr>
        <w:t>Shotz</w:t>
      </w:r>
      <w:proofErr w:type="spellEnd"/>
      <w:r>
        <w:t xml:space="preserve"> case, the Eleventh Circuit similarly addressed the extent to which the incorporated remedies provision of Title VI imposed limits on the ADA. That case raised the question whether individuals may be liable under the ADA’s anti-retaliation provision, Section 12203, which reads</w:t>
      </w:r>
      <w:r w:rsidR="003B23E5">
        <w:t>,</w:t>
      </w:r>
      <w:r>
        <w:t xml:space="preserve"> “</w:t>
      </w:r>
      <w:r w:rsidR="003B23E5">
        <w:t>[n]</w:t>
      </w:r>
      <w:r w:rsidRPr="005838F0">
        <w:t>o person shall discriminate</w:t>
      </w:r>
      <w:r w:rsidRPr="002E023B">
        <w:t xml:space="preserve"> against any individual because such individual has opposed any act or practice made unlawful by this chapter</w:t>
      </w:r>
      <w:r w:rsidR="00071411">
        <w:t xml:space="preserve"> </w:t>
      </w:r>
      <w:r>
        <w:t>. . .”</w:t>
      </w:r>
      <w:r>
        <w:rPr>
          <w:rStyle w:val="FootnoteReference"/>
        </w:rPr>
        <w:footnoteReference w:id="176"/>
      </w:r>
      <w:r>
        <w:t xml:space="preserve"> That section then incorporates the remedies of Section 12133</w:t>
      </w:r>
      <w:r w:rsidR="00804CF0" w:rsidRPr="00804CF0">
        <w:t xml:space="preserve"> </w:t>
      </w:r>
      <w:r w:rsidR="00804CF0">
        <w:t>where the retaliation related to a violation of Title II;</w:t>
      </w:r>
      <w:r>
        <w:rPr>
          <w:rStyle w:val="FootnoteReference"/>
        </w:rPr>
        <w:footnoteReference w:id="177"/>
      </w:r>
      <w:r>
        <w:t xml:space="preserve">  as discussed above, </w:t>
      </w:r>
      <w:r w:rsidR="00D063DA">
        <w:t xml:space="preserve">Section 12133 </w:t>
      </w:r>
      <w:r>
        <w:t>incorporates the remedies of Section 505 and thus ultimately of Title VI. “</w:t>
      </w:r>
      <w:r w:rsidRPr="002E023B">
        <w:t>For a violation of §</w:t>
      </w:r>
      <w:r>
        <w:t> </w:t>
      </w:r>
      <w:r w:rsidRPr="002E023B">
        <w:t>12203 in the context of public services, then, we ultimately look to Title VI</w:t>
      </w:r>
      <w:r>
        <w:t>.”</w:t>
      </w:r>
      <w:r>
        <w:rPr>
          <w:rStyle w:val="FootnoteReference"/>
        </w:rPr>
        <w:footnoteReference w:id="178"/>
      </w:r>
      <w:r>
        <w:t xml:space="preserve"> The Eleventh Circuit was thus faced with a substantive provision that clearly envisioned individual liability – </w:t>
      </w:r>
      <w:r w:rsidR="00FA2BA3">
        <w:t xml:space="preserve">Section 12203(a): </w:t>
      </w:r>
      <w:r>
        <w:t>“[n]o person shall discriminate” – and an incorporated remedies provision that only applied to recipients of federal funding – Title VI.</w:t>
      </w:r>
      <w:r>
        <w:rPr>
          <w:rStyle w:val="FootnoteReference"/>
        </w:rPr>
        <w:footnoteReference w:id="179"/>
      </w:r>
      <w:r w:rsidR="00071411">
        <w:t xml:space="preserve"> </w:t>
      </w:r>
      <w:r>
        <w:t>That court concluded that, in the context of Title II, “</w:t>
      </w:r>
      <w:r w:rsidRPr="002E023B">
        <w:t>allowing the remedial provisions to govern the scope of liability would deviate considerably from the intent and purpose of the statute.</w:t>
      </w:r>
      <w:r>
        <w:t>”</w:t>
      </w:r>
      <w:r>
        <w:rPr>
          <w:rStyle w:val="FootnoteReference"/>
        </w:rPr>
        <w:footnoteReference w:id="180"/>
      </w:r>
      <w:r>
        <w:t xml:space="preserve"> For example, the defendant’s theory would import, through Section 12133, all of the limits of Title VI into Section 12132</w:t>
      </w:r>
      <w:r w:rsidR="00A22E82">
        <w:t xml:space="preserve">, </w:t>
      </w:r>
      <w:r>
        <w:t>with the absurd result of limiting Section 12132 to public entities that receive federal funding, a result clearly at odds with the text and legislative history of Title II.</w:t>
      </w:r>
      <w:r>
        <w:rPr>
          <w:rStyle w:val="FootnoteReference"/>
        </w:rPr>
        <w:footnoteReference w:id="181"/>
      </w:r>
    </w:p>
    <w:p w14:paraId="6AC3CCB0" w14:textId="7D09682B" w:rsidR="00B51540" w:rsidRDefault="00B51540" w:rsidP="005838F0">
      <w:pPr>
        <w:pStyle w:val="BodyText"/>
      </w:pPr>
      <w:r w:rsidRPr="000B695D">
        <w:rPr>
          <w:i/>
          <w:iCs/>
        </w:rPr>
        <w:lastRenderedPageBreak/>
        <w:t>Darrone</w:t>
      </w:r>
      <w:r>
        <w:t xml:space="preserve">, </w:t>
      </w:r>
      <w:proofErr w:type="spellStart"/>
      <w:r w:rsidRPr="000B695D">
        <w:rPr>
          <w:i/>
          <w:iCs/>
        </w:rPr>
        <w:t>Shotz</w:t>
      </w:r>
      <w:proofErr w:type="spellEnd"/>
      <w:r>
        <w:t xml:space="preserve">, and </w:t>
      </w:r>
      <w:r w:rsidRPr="000B695D">
        <w:rPr>
          <w:i/>
          <w:iCs/>
        </w:rPr>
        <w:t>Orozco</w:t>
      </w:r>
      <w:r>
        <w:t xml:space="preserve"> </w:t>
      </w:r>
      <w:r w:rsidR="009512C5">
        <w:t xml:space="preserve">all reach the logical conclusion that incorporating the </w:t>
      </w:r>
      <w:r w:rsidR="00AF571D">
        <w:t xml:space="preserve">remedies provision of </w:t>
      </w:r>
      <w:r w:rsidR="009512C5">
        <w:t>Title VI</w:t>
      </w:r>
      <w:r w:rsidR="002957F9">
        <w:t xml:space="preserve"> does not bring with it other limitations found in </w:t>
      </w:r>
      <w:r w:rsidR="00AF571D">
        <w:t>that statute</w:t>
      </w:r>
      <w:r w:rsidR="002957F9">
        <w:t xml:space="preserve"> including</w:t>
      </w:r>
      <w:r w:rsidR="00430FC5">
        <w:t>, for example,</w:t>
      </w:r>
      <w:r w:rsidR="002957F9">
        <w:t xml:space="preserve"> </w:t>
      </w:r>
      <w:r w:rsidR="00E15490">
        <w:t xml:space="preserve">its “primary objective” </w:t>
      </w:r>
      <w:r w:rsidR="0026573F">
        <w:t xml:space="preserve">employment </w:t>
      </w:r>
      <w:r w:rsidR="00E15490">
        <w:t xml:space="preserve">limitation and </w:t>
      </w:r>
      <w:r w:rsidR="0026573F">
        <w:t xml:space="preserve">its limitation to recipients of federal funding. </w:t>
      </w:r>
      <w:r w:rsidR="000B695D">
        <w:t xml:space="preserve">The same logic dictates that the incorporation of Title VI remedies into Section 12133 does not impose on Section 12132 </w:t>
      </w:r>
      <w:r w:rsidR="00242367">
        <w:t xml:space="preserve">the court-created doctrine limiting Title VI to intentional discrimination. </w:t>
      </w:r>
    </w:p>
    <w:p w14:paraId="4BE519A4" w14:textId="46B069DB" w:rsidR="004D71E8" w:rsidRPr="00C16FC1" w:rsidRDefault="0057484C" w:rsidP="00BA6F3D">
      <w:pPr>
        <w:pStyle w:val="BodyText"/>
        <w:rPr>
          <w:i/>
          <w:iCs/>
        </w:rPr>
      </w:pPr>
      <w:r>
        <w:t>A number of circuits have explicitly recognized a private right of action to enforce Title II</w:t>
      </w:r>
      <w:r w:rsidR="00B96159">
        <w:t xml:space="preserve"> to challenge unintentional discrimination. </w:t>
      </w:r>
      <w:r w:rsidR="0070761F">
        <w:t>As discussed</w:t>
      </w:r>
      <w:r w:rsidR="00DF3145">
        <w:t xml:space="preserve"> in </w:t>
      </w:r>
      <w:r w:rsidR="00E70583">
        <w:t>Section V</w:t>
      </w:r>
      <w:r w:rsidR="00DF3145">
        <w:t xml:space="preserve"> above</w:t>
      </w:r>
      <w:r w:rsidR="0070761F">
        <w:t>,</w:t>
      </w:r>
      <w:r w:rsidR="008A4234">
        <w:t xml:space="preserve"> in</w:t>
      </w:r>
      <w:r w:rsidR="0070761F">
        <w:t xml:space="preserve"> </w:t>
      </w:r>
      <w:r w:rsidR="0070761F" w:rsidRPr="000B73E3">
        <w:rPr>
          <w:i/>
          <w:iCs/>
        </w:rPr>
        <w:t>Frame v. City of Arlington</w:t>
      </w:r>
      <w:r w:rsidR="008A4234">
        <w:t>,</w:t>
      </w:r>
      <w:r w:rsidR="0070761F">
        <w:t xml:space="preserve"> </w:t>
      </w:r>
      <w:r w:rsidR="008A4234">
        <w:t xml:space="preserve">the Fifth Circuit </w:t>
      </w:r>
      <w:r w:rsidR="0070761F">
        <w:t xml:space="preserve">held that the text of Section 12132 </w:t>
      </w:r>
      <w:r w:rsidR="000B73E3">
        <w:t>“extends to newly built and altered sidewalks.”</w:t>
      </w:r>
      <w:r w:rsidR="000B73E3">
        <w:rPr>
          <w:rStyle w:val="FootnoteReference"/>
        </w:rPr>
        <w:footnoteReference w:id="182"/>
      </w:r>
      <w:r w:rsidR="000B73E3">
        <w:t xml:space="preserve"> </w:t>
      </w:r>
      <w:r w:rsidR="00C23135">
        <w:t xml:space="preserve">That case </w:t>
      </w:r>
      <w:r w:rsidR="00C64717">
        <w:t>went</w:t>
      </w:r>
      <w:r w:rsidR="00C23135">
        <w:t xml:space="preserve"> on to address the scope of </w:t>
      </w:r>
      <w:r w:rsidR="001F3D38">
        <w:t xml:space="preserve">Section 12132’s private right of action, </w:t>
      </w:r>
      <w:r w:rsidR="00E26F79">
        <w:t>conclud</w:t>
      </w:r>
      <w:r w:rsidR="001F3D38">
        <w:t>ing that</w:t>
      </w:r>
      <w:r w:rsidR="00E26F79">
        <w:t xml:space="preserve"> </w:t>
      </w:r>
      <w:r w:rsidR="00BA6F3D">
        <w:t>“</w:t>
      </w:r>
      <w:r w:rsidR="00BA6F3D" w:rsidRPr="00BA6F3D">
        <w:t>the plaintiffs have a private right of action to enforce Title II of the ADA and § 504 of the Rehabilitation Act with respect to newly built and altered sidewalks.</w:t>
      </w:r>
      <w:r w:rsidR="00BA6F3D">
        <w:t>”</w:t>
      </w:r>
      <w:r w:rsidR="00BA6F3D">
        <w:rPr>
          <w:rStyle w:val="FootnoteReference"/>
        </w:rPr>
        <w:footnoteReference w:id="183"/>
      </w:r>
      <w:r w:rsidR="009D6D1C">
        <w:t xml:space="preserve"> Several other circuits – including, as discussed above, the Sixth </w:t>
      </w:r>
      <w:r w:rsidR="00FE23BF">
        <w:t>–</w:t>
      </w:r>
      <w:r w:rsidR="009D6D1C">
        <w:t xml:space="preserve"> </w:t>
      </w:r>
      <w:r w:rsidR="00FE23BF">
        <w:t>concur.</w:t>
      </w:r>
      <w:r w:rsidR="00071411">
        <w:t xml:space="preserve"> </w:t>
      </w:r>
      <w:r w:rsidR="00BC39A2">
        <w:t xml:space="preserve">For example, in </w:t>
      </w:r>
      <w:r w:rsidR="00BC39A2" w:rsidRPr="00550DA2">
        <w:rPr>
          <w:i/>
          <w:iCs/>
        </w:rPr>
        <w:t>Payan</w:t>
      </w:r>
      <w:r w:rsidR="00BC39A2">
        <w:t xml:space="preserve">, the Ninth Circuit </w:t>
      </w:r>
      <w:r w:rsidR="00D170CA">
        <w:t xml:space="preserve">held, based on </w:t>
      </w:r>
      <w:r w:rsidR="00D170CA" w:rsidRPr="00C107BF">
        <w:rPr>
          <w:i/>
          <w:iCs/>
        </w:rPr>
        <w:t>Choate</w:t>
      </w:r>
      <w:r w:rsidR="00D170CA">
        <w:t xml:space="preserve">, that </w:t>
      </w:r>
      <w:r w:rsidR="00C16FC1">
        <w:t>Title II and Section 504 prohibit disparate impact discrimination.</w:t>
      </w:r>
      <w:r w:rsidR="00C16FC1">
        <w:rPr>
          <w:rStyle w:val="FootnoteReference"/>
        </w:rPr>
        <w:footnoteReference w:id="184"/>
      </w:r>
      <w:r w:rsidR="00550DA2">
        <w:t xml:space="preserve"> The court then considered the argument that</w:t>
      </w:r>
      <w:r w:rsidR="00B44209">
        <w:t xml:space="preserve">, based on the </w:t>
      </w:r>
      <w:r w:rsidR="00BF3971">
        <w:t>incorporation of Title VI’s remedies into Section 12133 and Section 505</w:t>
      </w:r>
      <w:r w:rsidR="004D6429">
        <w:t xml:space="preserve"> and the similarity of the language of Title VI, Section 12132, and Section 504</w:t>
      </w:r>
      <w:r w:rsidR="00BF3971">
        <w:t xml:space="preserve">, </w:t>
      </w:r>
      <w:r w:rsidR="00BF3971" w:rsidRPr="004D6429">
        <w:rPr>
          <w:i/>
          <w:iCs/>
        </w:rPr>
        <w:t>Alexander v. Sandoval</w:t>
      </w:r>
      <w:r w:rsidR="00BF3971">
        <w:t xml:space="preserve"> </w:t>
      </w:r>
      <w:r w:rsidR="00800672">
        <w:t>foreclosed a private right of action to challenge disparate impact discrimination.</w:t>
      </w:r>
      <w:r w:rsidR="0067075A">
        <w:rPr>
          <w:rStyle w:val="FootnoteReference"/>
        </w:rPr>
        <w:footnoteReference w:id="185"/>
      </w:r>
      <w:r w:rsidR="00071411">
        <w:t xml:space="preserve"> </w:t>
      </w:r>
      <w:r w:rsidR="004D6429">
        <w:t xml:space="preserve">The court rejected that argument, </w:t>
      </w:r>
      <w:r w:rsidR="00057280">
        <w:t>explaining</w:t>
      </w:r>
      <w:r w:rsidR="004D6429">
        <w:t xml:space="preserve"> that </w:t>
      </w:r>
      <w:r w:rsidR="00C76F4D" w:rsidRPr="000B149A">
        <w:rPr>
          <w:i/>
          <w:iCs/>
        </w:rPr>
        <w:t>Sandoval</w:t>
      </w:r>
      <w:r w:rsidR="00C76F4D">
        <w:t xml:space="preserve">’s conclusion </w:t>
      </w:r>
      <w:r w:rsidR="00C76F4D">
        <w:lastRenderedPageBreak/>
        <w:t xml:space="preserve">was based on a series of </w:t>
      </w:r>
      <w:r w:rsidR="00057280">
        <w:t xml:space="preserve">Supreme Court decisions rather than the text of Title VI itself. </w:t>
      </w:r>
      <w:r w:rsidR="00272D2F">
        <w:t>“</w:t>
      </w:r>
      <w:r w:rsidR="00272D2F" w:rsidRPr="00272D2F">
        <w:rPr>
          <w:i/>
          <w:iCs/>
        </w:rPr>
        <w:t>Sandoval</w:t>
      </w:r>
      <w:r w:rsidR="00272D2F" w:rsidRPr="00272D2F">
        <w:t xml:space="preserve">, therefore, does not upset the historical understanding that Section 504 and the ADA were specifically intended to address both intentional discrimination and discrimination caused by </w:t>
      </w:r>
      <w:r w:rsidR="00272D2F">
        <w:t>‘</w:t>
      </w:r>
      <w:r w:rsidR="00272D2F" w:rsidRPr="00272D2F">
        <w:t>thoughtless indifference</w:t>
      </w:r>
      <w:r w:rsidR="00272D2F">
        <w:t>’</w:t>
      </w:r>
      <w:r w:rsidR="00272D2F" w:rsidRPr="00272D2F">
        <w:t xml:space="preserve"> or </w:t>
      </w:r>
      <w:r w:rsidR="00272D2F">
        <w:t>‘</w:t>
      </w:r>
      <w:r w:rsidR="00272D2F" w:rsidRPr="00272D2F">
        <w:t>benign neglect,</w:t>
      </w:r>
      <w:r w:rsidR="00272D2F">
        <w:t>’</w:t>
      </w:r>
      <w:r w:rsidR="00272D2F" w:rsidRPr="00272D2F">
        <w:t xml:space="preserve"> such as physical barriers to access public facilities.</w:t>
      </w:r>
      <w:r w:rsidR="00272D2F">
        <w:t>”</w:t>
      </w:r>
      <w:r w:rsidR="00272D2F">
        <w:rPr>
          <w:rStyle w:val="FootnoteReference"/>
        </w:rPr>
        <w:footnoteReference w:id="186"/>
      </w:r>
      <w:r w:rsidR="000B149A">
        <w:t xml:space="preserve"> Ultimate</w:t>
      </w:r>
      <w:r w:rsidR="00F63F2E">
        <w:t>ly</w:t>
      </w:r>
      <w:r w:rsidR="000B149A">
        <w:t xml:space="preserve">, the court held, </w:t>
      </w:r>
      <w:r w:rsidR="00800E8D">
        <w:t>“</w:t>
      </w:r>
      <w:r w:rsidR="00800E8D" w:rsidRPr="00800E8D">
        <w:t>disparate impact disability discrimination claims remain enforceable through a private right of action.</w:t>
      </w:r>
      <w:r w:rsidR="00800E8D">
        <w:t>”</w:t>
      </w:r>
      <w:r w:rsidR="00800E8D">
        <w:rPr>
          <w:rStyle w:val="FootnoteReference"/>
        </w:rPr>
        <w:footnoteReference w:id="187"/>
      </w:r>
      <w:r w:rsidR="00800E8D">
        <w:t xml:space="preserve"> </w:t>
      </w:r>
    </w:p>
    <w:p w14:paraId="43BC3D1A" w14:textId="5E1132B6" w:rsidR="007A20B3" w:rsidRDefault="0040374B" w:rsidP="00332440">
      <w:pPr>
        <w:pStyle w:val="BodyText"/>
      </w:pPr>
      <w:r>
        <w:t xml:space="preserve">Finally, the </w:t>
      </w:r>
      <w:r w:rsidRPr="00BA0B26">
        <w:rPr>
          <w:i/>
          <w:iCs/>
        </w:rPr>
        <w:t>Reinhart</w:t>
      </w:r>
      <w:r>
        <w:t xml:space="preserve"> Concurrence </w:t>
      </w:r>
      <w:r w:rsidR="00E539C2">
        <w:t xml:space="preserve">argues that </w:t>
      </w:r>
      <w:r w:rsidR="00881007">
        <w:t xml:space="preserve">the Title II regulations must not be enforceable through a private right of action given that </w:t>
      </w:r>
      <w:r>
        <w:t>Section 12134(a), the provision of Title II instructing the DOJ to issue implementing regulations</w:t>
      </w:r>
      <w:r w:rsidR="00E539C2">
        <w:t>, does not have a private right of action</w:t>
      </w:r>
      <w:r w:rsidR="00881007">
        <w:t xml:space="preserve">. This misconstrues </w:t>
      </w:r>
      <w:r w:rsidR="00991816">
        <w:t xml:space="preserve">the source of the private right of action and </w:t>
      </w:r>
      <w:r w:rsidR="00881007">
        <w:t>the role of Section 12134(a)</w:t>
      </w:r>
      <w:r w:rsidR="00991816">
        <w:t xml:space="preserve"> and other provisions of the ADA</w:t>
      </w:r>
      <w:r w:rsidR="002F27B6">
        <w:t>,</w:t>
      </w:r>
      <w:r w:rsidR="00991816">
        <w:t xml:space="preserve"> </w:t>
      </w:r>
      <w:r w:rsidR="00CD1396">
        <w:t xml:space="preserve">including Section 12201(a). </w:t>
      </w:r>
      <w:r w:rsidR="000529F9">
        <w:t>The private right of action at issue is the undisputed right to enforce Section 12132</w:t>
      </w:r>
      <w:r w:rsidR="002D2D82">
        <w:t>.</w:t>
      </w:r>
      <w:r w:rsidR="002D2D82">
        <w:rPr>
          <w:rStyle w:val="FootnoteReference"/>
        </w:rPr>
        <w:footnoteReference w:id="188"/>
      </w:r>
      <w:r w:rsidR="002D2D82">
        <w:t xml:space="preserve"> Other provisions of the ADA serve to </w:t>
      </w:r>
      <w:r w:rsidR="0058637B">
        <w:t xml:space="preserve">define </w:t>
      </w:r>
      <w:r w:rsidR="001500D7">
        <w:t xml:space="preserve">and inform the meaning of </w:t>
      </w:r>
      <w:r w:rsidR="0058637B">
        <w:t>the terms used in Section 12132 – for example, incorporat</w:t>
      </w:r>
      <w:r w:rsidR="008160C6">
        <w:t>ing</w:t>
      </w:r>
      <w:r w:rsidR="0058637B">
        <w:t xml:space="preserve"> Section 504 regulations and mandat</w:t>
      </w:r>
      <w:r w:rsidR="008160C6">
        <w:t>ing</w:t>
      </w:r>
      <w:r w:rsidR="0058637B">
        <w:t xml:space="preserve"> that the ADA be construed to provide as much protection as that </w:t>
      </w:r>
      <w:r w:rsidR="00332440">
        <w:t>statute</w:t>
      </w:r>
      <w:r w:rsidR="008160C6">
        <w:t xml:space="preserve">.  As such, </w:t>
      </w:r>
      <w:r w:rsidR="00332440">
        <w:t xml:space="preserve">they do not each need their own private right of action. </w:t>
      </w:r>
    </w:p>
    <w:p w14:paraId="1A4D8086" w14:textId="0A59B219" w:rsidR="00494FBD" w:rsidRDefault="00494FBD" w:rsidP="00494FBD">
      <w:pPr>
        <w:pStyle w:val="Heading1"/>
      </w:pPr>
      <w:r>
        <w:t xml:space="preserve">A Couple of Thoughts About </w:t>
      </w:r>
      <w:r w:rsidR="00750171">
        <w:t xml:space="preserve">Intent That Did </w:t>
      </w:r>
      <w:r w:rsidR="00394172">
        <w:t xml:space="preserve">Not </w:t>
      </w:r>
      <w:r w:rsidR="00750171">
        <w:t>Fit Neatly Elsewhere in the Post</w:t>
      </w:r>
      <w:r w:rsidR="0067667C">
        <w:t>.</w:t>
      </w:r>
    </w:p>
    <w:p w14:paraId="34D0085E" w14:textId="2F0F8215" w:rsidR="00FA48D6" w:rsidRDefault="00094A75" w:rsidP="000A7156">
      <w:pPr>
        <w:pStyle w:val="BodyText"/>
      </w:pPr>
      <w:r>
        <w:lastRenderedPageBreak/>
        <w:t xml:space="preserve">The </w:t>
      </w:r>
      <w:r w:rsidR="00A5687B">
        <w:t xml:space="preserve">majority opinion in </w:t>
      </w:r>
      <w:r w:rsidR="00A5687B">
        <w:rPr>
          <w:i/>
          <w:iCs/>
        </w:rPr>
        <w:t>Reinhart</w:t>
      </w:r>
      <w:r w:rsidR="00A5687B">
        <w:t xml:space="preserve"> addressed the question of intentional discrimination </w:t>
      </w:r>
      <w:r w:rsidR="009078DF">
        <w:t xml:space="preserve">under Title II </w:t>
      </w:r>
      <w:r w:rsidR="00A5687B">
        <w:t>because the plaintiff had pleaded such a claim.</w:t>
      </w:r>
      <w:r w:rsidR="00A5687B">
        <w:rPr>
          <w:rStyle w:val="FootnoteReference"/>
        </w:rPr>
        <w:footnoteReference w:id="189"/>
      </w:r>
      <w:r w:rsidR="006F3A60">
        <w:t xml:space="preserve"> </w:t>
      </w:r>
      <w:r w:rsidR="008F5BC4">
        <w:t xml:space="preserve">In doing this, it enunciated a standard for intentional discrimination </w:t>
      </w:r>
      <w:r w:rsidR="005443A4">
        <w:t xml:space="preserve">that requires </w:t>
      </w:r>
      <w:r w:rsidR="00A170EA">
        <w:t>“discriminatory animus toward disabled individuals.”</w:t>
      </w:r>
      <w:r w:rsidR="00A170EA">
        <w:rPr>
          <w:rStyle w:val="FootnoteReference"/>
        </w:rPr>
        <w:footnoteReference w:id="190"/>
      </w:r>
      <w:r w:rsidR="00A170EA">
        <w:t xml:space="preserve"> </w:t>
      </w:r>
      <w:r w:rsidR="00E6317D">
        <w:t xml:space="preserve">The question of what constitutes intentional conduct under Title II </w:t>
      </w:r>
      <w:r w:rsidR="00464AE3">
        <w:t>has been addressed in a number of other circuits, as it is widely accepted that, to recover damages under</w:t>
      </w:r>
      <w:r w:rsidR="00E6317D">
        <w:t xml:space="preserve"> that provision</w:t>
      </w:r>
      <w:r w:rsidR="00694921">
        <w:t xml:space="preserve">, a plaintiff must show intentional conduct. The animus standard established by the Sixth Circuit </w:t>
      </w:r>
      <w:r w:rsidR="00982BCA">
        <w:t xml:space="preserve">diverges from the standard adopted by most other </w:t>
      </w:r>
      <w:r w:rsidR="00464AE3">
        <w:t>circuits</w:t>
      </w:r>
      <w:r w:rsidR="0007004A">
        <w:t>, however</w:t>
      </w:r>
      <w:r w:rsidR="00282145">
        <w:t xml:space="preserve">: </w:t>
      </w:r>
      <w:r w:rsidR="00464AE3">
        <w:t>that intentional conduct</w:t>
      </w:r>
      <w:r w:rsidR="00B117E8">
        <w:t xml:space="preserve"> for purposes of damages under Title II</w:t>
      </w:r>
      <w:r w:rsidR="00464AE3">
        <w:t xml:space="preserve"> </w:t>
      </w:r>
      <w:r w:rsidR="00694921">
        <w:t xml:space="preserve">is demonstrated by </w:t>
      </w:r>
      <w:r w:rsidR="00C60AC1">
        <w:t>deliberate indifference</w:t>
      </w:r>
      <w:r w:rsidR="00F833B9">
        <w:t xml:space="preserve"> without a requirement of showing discriminatory animus.</w:t>
      </w:r>
      <w:r w:rsidR="00F833B9">
        <w:rPr>
          <w:rStyle w:val="FootnoteReference"/>
        </w:rPr>
        <w:footnoteReference w:id="191"/>
      </w:r>
      <w:r w:rsidR="00282145">
        <w:t xml:space="preserve"> </w:t>
      </w:r>
      <w:r w:rsidR="002C2073">
        <w:t>And a</w:t>
      </w:r>
      <w:r w:rsidR="00B627EE">
        <w:t xml:space="preserve">s the Ninth Circuit explained, in a widely-cited case, </w:t>
      </w:r>
      <w:r w:rsidR="000A7156">
        <w:t>“</w:t>
      </w:r>
      <w:r w:rsidR="00B627EE">
        <w:t>[d]</w:t>
      </w:r>
      <w:proofErr w:type="spellStart"/>
      <w:r w:rsidR="000A7156">
        <w:t>eliberate</w:t>
      </w:r>
      <w:proofErr w:type="spellEnd"/>
      <w:r w:rsidR="000A7156">
        <w:t xml:space="preserve"> indifference requires both knowledge that a harm to a federally protected right is substantially likely, and a failure to act upon that the likelihood.</w:t>
      </w:r>
      <w:r w:rsidR="006B2824">
        <w:t>”</w:t>
      </w:r>
      <w:r w:rsidR="006B2824">
        <w:rPr>
          <w:rStyle w:val="FootnoteReference"/>
        </w:rPr>
        <w:footnoteReference w:id="192"/>
      </w:r>
      <w:r w:rsidR="006B2824">
        <w:t xml:space="preserve"> </w:t>
      </w:r>
      <w:r w:rsidR="00D67DB8">
        <w:t xml:space="preserve">The Third Circuit case of </w:t>
      </w:r>
      <w:r w:rsidR="00D67DB8" w:rsidRPr="00904CD4">
        <w:rPr>
          <w:i/>
          <w:iCs/>
        </w:rPr>
        <w:t>S.H. ex rel</w:t>
      </w:r>
      <w:r w:rsidR="00665145">
        <w:rPr>
          <w:i/>
          <w:iCs/>
        </w:rPr>
        <w:t>.</w:t>
      </w:r>
      <w:r w:rsidR="00D67DB8" w:rsidRPr="00904CD4">
        <w:rPr>
          <w:i/>
          <w:iCs/>
        </w:rPr>
        <w:t xml:space="preserve"> Durrell</w:t>
      </w:r>
      <w:r w:rsidR="00D67DB8">
        <w:t xml:space="preserve"> </w:t>
      </w:r>
      <w:r w:rsidR="00904CD4">
        <w:t xml:space="preserve">has a long discussion of why deliberate indifference rather than animus is </w:t>
      </w:r>
      <w:r w:rsidR="00665145">
        <w:t xml:space="preserve">the </w:t>
      </w:r>
      <w:r w:rsidR="00904CD4">
        <w:t xml:space="preserve">appropriate </w:t>
      </w:r>
      <w:r w:rsidR="00665145">
        <w:t xml:space="preserve">standard </w:t>
      </w:r>
      <w:r w:rsidR="00904CD4">
        <w:t>under Title II.</w:t>
      </w:r>
      <w:r w:rsidR="000D1768">
        <w:rPr>
          <w:rStyle w:val="FootnoteReference"/>
        </w:rPr>
        <w:footnoteReference w:id="193"/>
      </w:r>
      <w:r w:rsidR="00904CD4">
        <w:t xml:space="preserve"> </w:t>
      </w:r>
    </w:p>
    <w:p w14:paraId="759D5A25" w14:textId="29A5532A" w:rsidR="00FA48D6" w:rsidRPr="00FA48D6" w:rsidRDefault="00D35EFD" w:rsidP="005320F1">
      <w:pPr>
        <w:pStyle w:val="BodyText"/>
      </w:pPr>
      <w:r>
        <w:t xml:space="preserve">I also find it odd to </w:t>
      </w:r>
      <w:r w:rsidR="00894AE2">
        <w:t xml:space="preserve">think </w:t>
      </w:r>
      <w:r>
        <w:t>that</w:t>
      </w:r>
      <w:r w:rsidR="00F23976">
        <w:t xml:space="preserve">, in 2026, a failure to accommodate or the construction of inaccessible facilities could be said to be unintentional. </w:t>
      </w:r>
      <w:r w:rsidR="005C530C">
        <w:t xml:space="preserve">When a disabled person articulates a need for a reasonable accommodation in order to participate in a public </w:t>
      </w:r>
      <w:r w:rsidR="00817D5F">
        <w:t xml:space="preserve">entity’s </w:t>
      </w:r>
      <w:r w:rsidR="005C530C">
        <w:t xml:space="preserve">program or </w:t>
      </w:r>
      <w:r w:rsidR="00DB1EC9">
        <w:t xml:space="preserve">benefit from its services, the denial of that accommodation is an intentional act. </w:t>
      </w:r>
      <w:r w:rsidR="00817D5F">
        <w:t xml:space="preserve">And the construction of a </w:t>
      </w:r>
      <w:r w:rsidR="00EE76F1">
        <w:t xml:space="preserve">physical facility – a building; a street; a sidewalk – </w:t>
      </w:r>
      <w:r w:rsidR="00EE76F1">
        <w:lastRenderedPageBreak/>
        <w:t xml:space="preserve">requires an immense amount of intentional planning, all of which should be informed by </w:t>
      </w:r>
      <w:r w:rsidR="001827C1">
        <w:t xml:space="preserve">45 years – counting from publication of the MGRAD – of detailed </w:t>
      </w:r>
      <w:r w:rsidR="007D1B0E">
        <w:t xml:space="preserve">accessibility standards. “Our architect was living under a rock” should not be a defense to intentional construction of an inaccessible building.  </w:t>
      </w:r>
    </w:p>
    <w:p w14:paraId="4056DA1A" w14:textId="72B1CF73" w:rsidR="00332440" w:rsidRDefault="002B3F88" w:rsidP="002B3F88">
      <w:pPr>
        <w:pStyle w:val="Heading1"/>
      </w:pPr>
      <w:r>
        <w:t>Conclusion</w:t>
      </w:r>
      <w:r w:rsidR="0067667C">
        <w:t>.</w:t>
      </w:r>
    </w:p>
    <w:p w14:paraId="2CF1B31C" w14:textId="1DF92439" w:rsidR="00F82FBA" w:rsidRPr="00F82FBA" w:rsidRDefault="008273B4" w:rsidP="00F82FBA">
      <w:pPr>
        <w:pStyle w:val="BodyText"/>
      </w:pPr>
      <w:r>
        <w:t>I</w:t>
      </w:r>
      <w:r w:rsidR="00547212">
        <w:t xml:space="preserve"> hope </w:t>
      </w:r>
      <w:r>
        <w:t xml:space="preserve">the discussion above has convinced you </w:t>
      </w:r>
      <w:r w:rsidR="00AE40DC">
        <w:t xml:space="preserve">– whether </w:t>
      </w:r>
      <w:r w:rsidR="00E66016">
        <w:t>judge, lawyer</w:t>
      </w:r>
      <w:r w:rsidR="00023FA9">
        <w:t>, or layperson</w:t>
      </w:r>
      <w:r w:rsidR="00AE40DC">
        <w:t xml:space="preserve"> – </w:t>
      </w:r>
      <w:r>
        <w:t xml:space="preserve">that </w:t>
      </w:r>
      <w:r w:rsidR="002F4630">
        <w:t>Section 12132</w:t>
      </w:r>
      <w:r>
        <w:t xml:space="preserve"> reaches and prohibits </w:t>
      </w:r>
      <w:r w:rsidR="00A706B5">
        <w:t>many unintentional forms of discrimination</w:t>
      </w:r>
      <w:r w:rsidR="00765758">
        <w:t xml:space="preserve"> and</w:t>
      </w:r>
      <w:r w:rsidR="00AA27B2">
        <w:t xml:space="preserve"> that it therefore </w:t>
      </w:r>
      <w:r w:rsidR="00D66A11">
        <w:t>creates a private right of action to challenge such discrimination</w:t>
      </w:r>
      <w:r w:rsidR="00765758">
        <w:t xml:space="preserve">. </w:t>
      </w:r>
      <w:r w:rsidR="00C37CF9">
        <w:t xml:space="preserve">I hope this post </w:t>
      </w:r>
      <w:r w:rsidR="00A706B5">
        <w:t>it will inspire you to reject any arguments to the contrary</w:t>
      </w:r>
      <w:r w:rsidR="00C37CF9">
        <w:t xml:space="preserve"> and provide the tools to do so</w:t>
      </w:r>
      <w:r w:rsidR="00AE1FAC">
        <w:t xml:space="preserve">. </w:t>
      </w:r>
    </w:p>
    <w:sectPr w:rsidR="00F82FBA" w:rsidRPr="00F82FBA">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32D75" w14:textId="77777777" w:rsidR="00F41B53" w:rsidRDefault="00F41B53" w:rsidP="00811663">
      <w:pPr>
        <w:spacing w:after="0" w:line="240" w:lineRule="auto"/>
      </w:pPr>
      <w:r>
        <w:separator/>
      </w:r>
    </w:p>
  </w:endnote>
  <w:endnote w:type="continuationSeparator" w:id="0">
    <w:p w14:paraId="3EADE534" w14:textId="77777777" w:rsidR="00F41B53" w:rsidRDefault="00F41B53" w:rsidP="00811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0927176"/>
      <w:docPartObj>
        <w:docPartGallery w:val="Page Numbers (Bottom of Page)"/>
        <w:docPartUnique/>
      </w:docPartObj>
    </w:sdtPr>
    <w:sdtEndPr>
      <w:rPr>
        <w:noProof/>
      </w:rPr>
    </w:sdtEndPr>
    <w:sdtContent>
      <w:p w14:paraId="767D7ADC" w14:textId="4B8DC8C8" w:rsidR="002D050B" w:rsidRDefault="002D050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B2CBA7" w14:textId="77777777" w:rsidR="002D050B" w:rsidRDefault="002D05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0AC89" w14:textId="77777777" w:rsidR="00F41B53" w:rsidRDefault="00F41B53" w:rsidP="00811663">
      <w:pPr>
        <w:spacing w:after="0" w:line="240" w:lineRule="auto"/>
      </w:pPr>
      <w:r>
        <w:separator/>
      </w:r>
    </w:p>
  </w:footnote>
  <w:footnote w:type="continuationSeparator" w:id="0">
    <w:p w14:paraId="75F8232D" w14:textId="77777777" w:rsidR="00F41B53" w:rsidRDefault="00F41B53" w:rsidP="00811663">
      <w:pPr>
        <w:spacing w:after="0" w:line="240" w:lineRule="auto"/>
      </w:pPr>
      <w:r>
        <w:continuationSeparator/>
      </w:r>
    </w:p>
  </w:footnote>
  <w:footnote w:id="1">
    <w:p w14:paraId="5014FB13" w14:textId="4F0F46A0" w:rsidR="00122B26" w:rsidRDefault="00122B26">
      <w:pPr>
        <w:pStyle w:val="FootnoteText"/>
      </w:pPr>
      <w:r>
        <w:rPr>
          <w:rStyle w:val="FootnoteReference"/>
        </w:rPr>
        <w:footnoteRef/>
      </w:r>
      <w:r>
        <w:t xml:space="preserve"> 42 U.S.C. §</w:t>
      </w:r>
      <w:r w:rsidR="00F14492">
        <w:t xml:space="preserve">§ </w:t>
      </w:r>
      <w:r>
        <w:t xml:space="preserve">12101 </w:t>
      </w:r>
      <w:r w:rsidR="00F14492">
        <w:t>–</w:t>
      </w:r>
      <w:r>
        <w:t xml:space="preserve"> </w:t>
      </w:r>
      <w:r w:rsidR="00F14492">
        <w:t>12213.</w:t>
      </w:r>
    </w:p>
  </w:footnote>
  <w:footnote w:id="2">
    <w:p w14:paraId="48D70466" w14:textId="6D06D111" w:rsidR="00091C58" w:rsidRDefault="00091C58">
      <w:pPr>
        <w:pStyle w:val="FootnoteText"/>
      </w:pPr>
      <w:r>
        <w:rPr>
          <w:rStyle w:val="FootnoteReference"/>
        </w:rPr>
        <w:footnoteRef/>
      </w:r>
      <w:r>
        <w:t xml:space="preserve"> </w:t>
      </w:r>
      <w:r w:rsidR="006A46A9">
        <w:t>42 U.S.C. §</w:t>
      </w:r>
      <w:r w:rsidR="00135692">
        <w:t xml:space="preserve"> 12132.</w:t>
      </w:r>
      <w:r w:rsidR="00566A92">
        <w:t xml:space="preserve"> In this post, I will use the sections of the ADA as codified in Title 42 rather than as they appear in the original </w:t>
      </w:r>
      <w:r w:rsidR="005432A8">
        <w:t>law, largely to avoid confusion with similarly-numbered – and repeatedly</w:t>
      </w:r>
      <w:r w:rsidR="00CA1531">
        <w:t>-</w:t>
      </w:r>
      <w:r w:rsidR="005432A8">
        <w:t xml:space="preserve">cited – sections </w:t>
      </w:r>
      <w:r w:rsidR="00A76D86">
        <w:t xml:space="preserve">of the Rehabilitation Act of 1973. </w:t>
      </w:r>
    </w:p>
  </w:footnote>
  <w:footnote w:id="3">
    <w:p w14:paraId="3A87C019" w14:textId="659AE75E" w:rsidR="00A476B6" w:rsidRDefault="00A476B6">
      <w:pPr>
        <w:pStyle w:val="FootnoteText"/>
      </w:pPr>
      <w:r>
        <w:rPr>
          <w:rStyle w:val="FootnoteReference"/>
        </w:rPr>
        <w:footnoteRef/>
      </w:r>
      <w:r>
        <w:t xml:space="preserve"> 29 U.S.C. § 794.</w:t>
      </w:r>
    </w:p>
  </w:footnote>
  <w:footnote w:id="4">
    <w:p w14:paraId="5ED4B20B" w14:textId="394A5510" w:rsidR="00811663" w:rsidRDefault="00811663" w:rsidP="00811663">
      <w:pPr>
        <w:pStyle w:val="FootnoteText"/>
      </w:pPr>
      <w:r>
        <w:rPr>
          <w:rStyle w:val="FootnoteReference"/>
        </w:rPr>
        <w:footnoteRef/>
      </w:r>
      <w:r w:rsidR="007D3DAD">
        <w:t xml:space="preserve"> </w:t>
      </w:r>
      <w:r w:rsidR="007D3DAD" w:rsidRPr="00811663">
        <w:rPr>
          <w:i/>
          <w:iCs/>
        </w:rPr>
        <w:t>Reinhart v. City of Birmingham, Michigan</w:t>
      </w:r>
      <w:r w:rsidR="007D3DAD">
        <w:t>, No. 24-1954, 2025 WL 2426820, at *7 (6th Cir. Aug. 22, 2025) (</w:t>
      </w:r>
      <w:proofErr w:type="spellStart"/>
      <w:r w:rsidR="007D3DAD">
        <w:t>Readler</w:t>
      </w:r>
      <w:proofErr w:type="spellEnd"/>
      <w:r w:rsidR="007D3DAD">
        <w:t>, J., concurring).</w:t>
      </w:r>
    </w:p>
  </w:footnote>
  <w:footnote w:id="5">
    <w:p w14:paraId="381D01FB" w14:textId="764FA1AA" w:rsidR="00811663" w:rsidRDefault="00811663" w:rsidP="00811663">
      <w:pPr>
        <w:pStyle w:val="FootnoteText"/>
      </w:pPr>
      <w:r>
        <w:rPr>
          <w:rStyle w:val="FootnoteReference"/>
        </w:rPr>
        <w:footnoteRef/>
      </w:r>
      <w:r w:rsidR="00A20A45">
        <w:t xml:space="preserve"> </w:t>
      </w:r>
      <w:r w:rsidR="00A20A45" w:rsidRPr="00F55491">
        <w:rPr>
          <w:i/>
          <w:iCs/>
        </w:rPr>
        <w:t>Alexander v. Sandoval</w:t>
      </w:r>
      <w:r w:rsidR="00A20A45">
        <w:t>, 532 U.S. 275 (2001).</w:t>
      </w:r>
    </w:p>
  </w:footnote>
  <w:footnote w:id="6">
    <w:p w14:paraId="1429E6ED" w14:textId="43FC51CD" w:rsidR="00045689" w:rsidRDefault="00045689">
      <w:pPr>
        <w:pStyle w:val="FootnoteText"/>
      </w:pPr>
      <w:r>
        <w:rPr>
          <w:rStyle w:val="FootnoteReference"/>
        </w:rPr>
        <w:footnoteRef/>
      </w:r>
      <w:r>
        <w:t xml:space="preserve"> 28 C.F.R. pt 35. </w:t>
      </w:r>
    </w:p>
  </w:footnote>
  <w:footnote w:id="7">
    <w:p w14:paraId="262DF0CC" w14:textId="706E930E" w:rsidR="00811663" w:rsidRPr="0012178C" w:rsidRDefault="00811663" w:rsidP="00811663">
      <w:pPr>
        <w:pStyle w:val="FootnoteText"/>
      </w:pPr>
      <w:r>
        <w:rPr>
          <w:rStyle w:val="FootnoteReference"/>
        </w:rPr>
        <w:footnoteRef/>
      </w:r>
      <w:r>
        <w:t xml:space="preserve"> </w:t>
      </w:r>
      <w:r>
        <w:rPr>
          <w:i/>
          <w:iCs/>
        </w:rPr>
        <w:t>Reinhart</w:t>
      </w:r>
      <w:r>
        <w:t xml:space="preserve">, 2025 WL 2426820, at </w:t>
      </w:r>
      <w:r w:rsidR="002672C7" w:rsidRPr="007417C7">
        <w:t>*8</w:t>
      </w:r>
      <w:r w:rsidRPr="007417C7">
        <w:t>.</w:t>
      </w:r>
    </w:p>
  </w:footnote>
  <w:footnote w:id="8">
    <w:p w14:paraId="4B7B762F" w14:textId="45C1EC61" w:rsidR="00C14A2E" w:rsidRDefault="00811663" w:rsidP="00AD717E">
      <w:pPr>
        <w:pStyle w:val="FootnoteText"/>
      </w:pPr>
      <w:r>
        <w:rPr>
          <w:rStyle w:val="FootnoteReference"/>
        </w:rPr>
        <w:footnoteRef/>
      </w:r>
      <w:r w:rsidR="00F95911">
        <w:rPr>
          <w:i/>
          <w:iCs/>
        </w:rPr>
        <w:t xml:space="preserve"> </w:t>
      </w:r>
      <w:r w:rsidR="00F95911" w:rsidRPr="00811663">
        <w:rPr>
          <w:i/>
          <w:iCs/>
        </w:rPr>
        <w:t>Booth v. Lazzara</w:t>
      </w:r>
      <w:r w:rsidR="00F95911">
        <w:t xml:space="preserve">, 164 F.4th 581, 598 (6th Cir. 2026) (Murphy, J., concurring). Justices Thomas and Kavanaugh, in their concurrence in </w:t>
      </w:r>
      <w:r w:rsidR="00F95911" w:rsidRPr="008D7B2A">
        <w:rPr>
          <w:i/>
          <w:iCs/>
        </w:rPr>
        <w:t xml:space="preserve">A. J. T. by &amp; through A. T. v. Osseo Area </w:t>
      </w:r>
      <w:proofErr w:type="spellStart"/>
      <w:r w:rsidR="00F95911" w:rsidRPr="008D7B2A">
        <w:rPr>
          <w:i/>
          <w:iCs/>
        </w:rPr>
        <w:t>Schs</w:t>
      </w:r>
      <w:proofErr w:type="spellEnd"/>
      <w:r w:rsidR="00F95911" w:rsidRPr="008D7B2A">
        <w:rPr>
          <w:i/>
          <w:iCs/>
        </w:rPr>
        <w:t>., Indep. Sch. Dist. No. 279</w:t>
      </w:r>
      <w:r w:rsidR="00F95911">
        <w:t xml:space="preserve">, 605 U.S. 335, </w:t>
      </w:r>
      <w:r w:rsidR="00F95911" w:rsidRPr="007417C7">
        <w:t>351</w:t>
      </w:r>
      <w:r w:rsidR="00F95911">
        <w:t>-55 (2025), appeared open to the possibility of addressing the question whether Title II only prohibits intentional conduct.</w:t>
      </w:r>
    </w:p>
    <w:p w14:paraId="748B3CB5" w14:textId="3BE3F12D" w:rsidR="00811663" w:rsidRDefault="004E7142" w:rsidP="00AD717E">
      <w:pPr>
        <w:pStyle w:val="FootnoteText"/>
      </w:pPr>
      <w:r>
        <w:t xml:space="preserve"> </w:t>
      </w:r>
    </w:p>
  </w:footnote>
  <w:footnote w:id="9">
    <w:p w14:paraId="62E6B892" w14:textId="3D315C45" w:rsidR="00382779" w:rsidRDefault="00382779" w:rsidP="00382779">
      <w:pPr>
        <w:pStyle w:val="FootnoteText"/>
      </w:pPr>
      <w:r>
        <w:rPr>
          <w:rStyle w:val="FootnoteReference"/>
        </w:rPr>
        <w:footnoteRef/>
      </w:r>
      <w:r>
        <w:t xml:space="preserve"> </w:t>
      </w:r>
      <w:r w:rsidRPr="00382779">
        <w:rPr>
          <w:i/>
          <w:iCs/>
        </w:rPr>
        <w:t>Ability Ctr. of Greater Toledo v. City of Sandusky</w:t>
      </w:r>
      <w:r>
        <w:t>, 385 F.3d 901, 907 (6th Cir. 2004)</w:t>
      </w:r>
      <w:r w:rsidR="00185997">
        <w:t>.</w:t>
      </w:r>
    </w:p>
  </w:footnote>
  <w:footnote w:id="10">
    <w:p w14:paraId="6C437E94" w14:textId="6EF798C6" w:rsidR="00A60EFA" w:rsidRPr="00A60EFA" w:rsidRDefault="00A60EFA" w:rsidP="00AC651D">
      <w:pPr>
        <w:pStyle w:val="FootnoteText"/>
      </w:pPr>
      <w:r>
        <w:rPr>
          <w:rStyle w:val="FootnoteReference"/>
        </w:rPr>
        <w:footnoteRef/>
      </w:r>
      <w:r>
        <w:t xml:space="preserve"> </w:t>
      </w:r>
      <w:r w:rsidR="00262B4E">
        <w:rPr>
          <w:i/>
          <w:iCs/>
        </w:rPr>
        <w:t>Ability C</w:t>
      </w:r>
      <w:r w:rsidR="00027882">
        <w:rPr>
          <w:i/>
          <w:iCs/>
        </w:rPr>
        <w:t>tr.</w:t>
      </w:r>
      <w:r w:rsidR="00027882">
        <w:t xml:space="preserve">, </w:t>
      </w:r>
      <w:r w:rsidR="00970F63">
        <w:t>385 F.3d</w:t>
      </w:r>
      <w:r w:rsidR="00262B4E">
        <w:rPr>
          <w:i/>
          <w:iCs/>
        </w:rPr>
        <w:t xml:space="preserve"> </w:t>
      </w:r>
      <w:r>
        <w:t xml:space="preserve">at </w:t>
      </w:r>
      <w:r w:rsidR="00E83E27">
        <w:t xml:space="preserve">906 (citing </w:t>
      </w:r>
      <w:r w:rsidR="00AC651D" w:rsidRPr="00AC651D">
        <w:rPr>
          <w:i/>
          <w:iCs/>
        </w:rPr>
        <w:t>Sandoval</w:t>
      </w:r>
      <w:r w:rsidR="00AC651D">
        <w:t xml:space="preserve">, 532 U.S. </w:t>
      </w:r>
      <w:r w:rsidR="00262B4E">
        <w:t>at</w:t>
      </w:r>
      <w:r w:rsidR="00AC651D">
        <w:t xml:space="preserve"> 284-85). </w:t>
      </w:r>
    </w:p>
  </w:footnote>
  <w:footnote w:id="11">
    <w:p w14:paraId="04B1E5A7" w14:textId="7E7D2775" w:rsidR="00262B4E" w:rsidRPr="00262B4E" w:rsidRDefault="00262B4E">
      <w:pPr>
        <w:pStyle w:val="FootnoteText"/>
      </w:pPr>
      <w:r>
        <w:rPr>
          <w:rStyle w:val="FootnoteReference"/>
        </w:rPr>
        <w:footnoteRef/>
      </w:r>
      <w:r>
        <w:t xml:space="preserve"> </w:t>
      </w:r>
      <w:r>
        <w:rPr>
          <w:i/>
          <w:iCs/>
        </w:rPr>
        <w:t>Id.</w:t>
      </w:r>
      <w:r>
        <w:t xml:space="preserve"> at 907.</w:t>
      </w:r>
    </w:p>
  </w:footnote>
  <w:footnote w:id="12">
    <w:p w14:paraId="7030CDB1" w14:textId="2E22507B" w:rsidR="00727CEB" w:rsidRPr="00727CEB" w:rsidRDefault="00727CEB">
      <w:pPr>
        <w:pStyle w:val="FootnoteText"/>
      </w:pPr>
      <w:r>
        <w:rPr>
          <w:rStyle w:val="FootnoteReference"/>
        </w:rPr>
        <w:footnoteRef/>
      </w:r>
      <w:r>
        <w:t xml:space="preserve"> </w:t>
      </w:r>
      <w:r>
        <w:rPr>
          <w:i/>
          <w:iCs/>
        </w:rPr>
        <w:t>Reinhart</w:t>
      </w:r>
      <w:r>
        <w:t xml:space="preserve">, </w:t>
      </w:r>
      <w:r w:rsidR="00AF1A8A">
        <w:t xml:space="preserve">2025 WL 2426820, </w:t>
      </w:r>
      <w:r>
        <w:t>at*</w:t>
      </w:r>
      <w:r w:rsidR="00BA214C">
        <w:t>2-</w:t>
      </w:r>
      <w:r>
        <w:t>3.</w:t>
      </w:r>
      <w:r w:rsidR="008A4462">
        <w:t xml:space="preserve"> </w:t>
      </w:r>
    </w:p>
  </w:footnote>
  <w:footnote w:id="13">
    <w:p w14:paraId="355D918A" w14:textId="579DEB63" w:rsidR="00727CEB" w:rsidRPr="00727CEB" w:rsidRDefault="00727CEB">
      <w:pPr>
        <w:pStyle w:val="FootnoteText"/>
      </w:pPr>
      <w:r>
        <w:rPr>
          <w:rStyle w:val="FootnoteReference"/>
        </w:rPr>
        <w:footnoteRef/>
      </w:r>
      <w:r>
        <w:t xml:space="preserve"> </w:t>
      </w:r>
      <w:r>
        <w:rPr>
          <w:i/>
          <w:iCs/>
        </w:rPr>
        <w:t>Id.</w:t>
      </w:r>
      <w:r>
        <w:t xml:space="preserve"> at *4.</w:t>
      </w:r>
      <w:r w:rsidR="008A4462">
        <w:t xml:space="preserve"> </w:t>
      </w:r>
    </w:p>
  </w:footnote>
  <w:footnote w:id="14">
    <w:p w14:paraId="4A831C6E" w14:textId="2DC1C670" w:rsidR="007406B1" w:rsidRPr="007406B1" w:rsidRDefault="007406B1">
      <w:pPr>
        <w:pStyle w:val="FootnoteText"/>
      </w:pPr>
      <w:r>
        <w:rPr>
          <w:rStyle w:val="FootnoteReference"/>
        </w:rPr>
        <w:footnoteRef/>
      </w:r>
      <w:r>
        <w:t xml:space="preserve"> </w:t>
      </w:r>
      <w:r>
        <w:rPr>
          <w:i/>
          <w:iCs/>
        </w:rPr>
        <w:t>Booth</w:t>
      </w:r>
      <w:r>
        <w:t xml:space="preserve">, </w:t>
      </w:r>
      <w:r w:rsidR="00815FFF">
        <w:t xml:space="preserve">164 F.4th </w:t>
      </w:r>
      <w:r>
        <w:t>at 587.</w:t>
      </w:r>
      <w:r w:rsidR="008A4462">
        <w:t xml:space="preserve"> </w:t>
      </w:r>
    </w:p>
  </w:footnote>
  <w:footnote w:id="15">
    <w:p w14:paraId="7F70077D" w14:textId="030B3B05" w:rsidR="007406B1" w:rsidRPr="007406B1" w:rsidRDefault="007406B1">
      <w:pPr>
        <w:pStyle w:val="FootnoteText"/>
      </w:pPr>
      <w:r>
        <w:rPr>
          <w:rStyle w:val="FootnoteReference"/>
        </w:rPr>
        <w:footnoteRef/>
      </w:r>
      <w:r>
        <w:t xml:space="preserve"> </w:t>
      </w:r>
      <w:r>
        <w:rPr>
          <w:i/>
          <w:iCs/>
        </w:rPr>
        <w:t>Id.</w:t>
      </w:r>
      <w:r>
        <w:t xml:space="preserve"> at 588, 589. </w:t>
      </w:r>
    </w:p>
  </w:footnote>
  <w:footnote w:id="16">
    <w:p w14:paraId="6D3C7798" w14:textId="443C7E4D" w:rsidR="007406B1" w:rsidRPr="007406B1" w:rsidRDefault="007406B1">
      <w:pPr>
        <w:pStyle w:val="FootnoteText"/>
      </w:pPr>
      <w:r>
        <w:rPr>
          <w:rStyle w:val="FootnoteReference"/>
        </w:rPr>
        <w:footnoteRef/>
      </w:r>
      <w:r>
        <w:t xml:space="preserve"> </w:t>
      </w:r>
      <w:r>
        <w:rPr>
          <w:i/>
          <w:iCs/>
        </w:rPr>
        <w:t>Id.</w:t>
      </w:r>
      <w:r>
        <w:t xml:space="preserve"> at 596 (citing </w:t>
      </w:r>
      <w:r>
        <w:rPr>
          <w:i/>
          <w:iCs/>
        </w:rPr>
        <w:t>Reinhart</w:t>
      </w:r>
      <w:r w:rsidR="003025D8">
        <w:t xml:space="preserve">, </w:t>
      </w:r>
      <w:r w:rsidR="003025D8" w:rsidRPr="003025D8">
        <w:t>2025 WL 2426820, at *6</w:t>
      </w:r>
      <w:r w:rsidR="003025D8">
        <w:t xml:space="preserve">). </w:t>
      </w:r>
    </w:p>
  </w:footnote>
  <w:footnote w:id="17">
    <w:p w14:paraId="5E22E6C4" w14:textId="63D2B971" w:rsidR="00A04824" w:rsidRDefault="00A04824">
      <w:pPr>
        <w:pStyle w:val="FootnoteText"/>
      </w:pPr>
      <w:r>
        <w:rPr>
          <w:rStyle w:val="FootnoteReference"/>
        </w:rPr>
        <w:footnoteRef/>
      </w:r>
      <w:r>
        <w:t xml:space="preserve"> </w:t>
      </w:r>
      <w:r w:rsidR="004C2716">
        <w:t xml:space="preserve">This section </w:t>
      </w:r>
      <w:r w:rsidR="007866A3">
        <w:t xml:space="preserve">of the post </w:t>
      </w:r>
      <w:r w:rsidR="004C2716">
        <w:t xml:space="preserve">draws from – indeed copies and pastes in places – </w:t>
      </w:r>
      <w:r w:rsidR="007420A8">
        <w:t xml:space="preserve">portions of </w:t>
      </w:r>
      <w:r w:rsidR="00FA7A28">
        <w:t xml:space="preserve">an article I wrote for the UCLA Disability Law Journal. </w:t>
      </w:r>
      <w:r w:rsidR="00806E92">
        <w:t>Amy Robertson</w:t>
      </w:r>
      <w:r w:rsidR="0013448B">
        <w:t xml:space="preserve">, </w:t>
      </w:r>
      <w:r w:rsidR="00BF572A">
        <w:rPr>
          <w:i/>
          <w:iCs/>
        </w:rPr>
        <w:t xml:space="preserve">Key Disability Rights Regulations Will Remain Authoritative in the Wake of </w:t>
      </w:r>
      <w:r w:rsidR="00530DF2">
        <w:t>Loper Bright</w:t>
      </w:r>
      <w:r w:rsidR="00530DF2">
        <w:rPr>
          <w:i/>
          <w:iCs/>
        </w:rPr>
        <w:t>: A Toolkit for Litigation</w:t>
      </w:r>
      <w:r w:rsidR="00530DF2">
        <w:t xml:space="preserve">, </w:t>
      </w:r>
      <w:r w:rsidR="00775EF1">
        <w:t xml:space="preserve">6(1) </w:t>
      </w:r>
      <w:r w:rsidR="00C53B52">
        <w:t xml:space="preserve">UCLA </w:t>
      </w:r>
      <w:r w:rsidR="00775EF1">
        <w:t>Disability L.</w:t>
      </w:r>
      <w:r w:rsidR="00D10286">
        <w:t>J.</w:t>
      </w:r>
      <w:r w:rsidR="001E5141">
        <w:t xml:space="preserve"> 43</w:t>
      </w:r>
      <w:r w:rsidR="00E405CE">
        <w:t xml:space="preserve"> (2025), </w:t>
      </w:r>
      <w:hyperlink r:id="rId1" w:history="1">
        <w:r w:rsidR="00C53B52" w:rsidRPr="00627AF6">
          <w:rPr>
            <w:rStyle w:val="Hyperlink"/>
          </w:rPr>
          <w:t>https://escholarship.org/uc/item/7140n8f3</w:t>
        </w:r>
      </w:hyperlink>
      <w:r w:rsidR="00FA7A28">
        <w:t xml:space="preserve">. </w:t>
      </w:r>
      <w:r w:rsidR="00D215C4" w:rsidRPr="00D215C4">
        <w:t xml:space="preserve">Some of the research </w:t>
      </w:r>
      <w:r w:rsidR="00D215C4">
        <w:t>for that article</w:t>
      </w:r>
      <w:r w:rsidR="00D215C4" w:rsidRPr="00D215C4">
        <w:t xml:space="preserve"> came from</w:t>
      </w:r>
      <w:r w:rsidR="00EF31B6">
        <w:t xml:space="preserve"> </w:t>
      </w:r>
      <w:r w:rsidR="00D215C4" w:rsidRPr="00D215C4">
        <w:t xml:space="preserve">an </w:t>
      </w:r>
      <w:r w:rsidR="007420A8" w:rsidRPr="007420A8">
        <w:rPr>
          <w:i/>
          <w:iCs/>
        </w:rPr>
        <w:t>amicus</w:t>
      </w:r>
      <w:r w:rsidR="007420A8" w:rsidRPr="00D215C4">
        <w:t xml:space="preserve"> </w:t>
      </w:r>
      <w:r w:rsidR="00D215C4" w:rsidRPr="00D215C4">
        <w:t>brief I co-wrote with Claudia Center, Karla Gilbride, Arlene</w:t>
      </w:r>
      <w:r w:rsidR="00D215C4">
        <w:t xml:space="preserve"> </w:t>
      </w:r>
      <w:r w:rsidR="00D215C4" w:rsidRPr="00D215C4">
        <w:t>Mayerson, Susan Mizner, Carly Myers, and Justin Ormand</w:t>
      </w:r>
      <w:r w:rsidR="00D215C4">
        <w:t>, and I remain grateful for their contributions to that</w:t>
      </w:r>
      <w:r w:rsidR="00D17578">
        <w:t xml:space="preserve"> – </w:t>
      </w:r>
      <w:r w:rsidR="00D215C4">
        <w:t xml:space="preserve">and </w:t>
      </w:r>
      <w:r w:rsidR="00D17578">
        <w:t xml:space="preserve">therefore </w:t>
      </w:r>
      <w:r w:rsidR="00D215C4">
        <w:t>this</w:t>
      </w:r>
      <w:r w:rsidR="00D17578">
        <w:t xml:space="preserve"> –</w:t>
      </w:r>
      <w:r w:rsidR="00D215C4">
        <w:t xml:space="preserve"> </w:t>
      </w:r>
      <w:r w:rsidR="007420A8">
        <w:t>writing.</w:t>
      </w:r>
      <w:r w:rsidR="00D17578">
        <w:t xml:space="preserve"> An additional shout-out to Karla for reading through this entire post and offering invaluable </w:t>
      </w:r>
      <w:r w:rsidR="00EF31B6">
        <w:t>edits and comments. All errors remain mine.</w:t>
      </w:r>
    </w:p>
  </w:footnote>
  <w:footnote w:id="18">
    <w:p w14:paraId="4873CD13" w14:textId="68CD38C3" w:rsidR="00522D85" w:rsidRDefault="00522D85">
      <w:pPr>
        <w:pStyle w:val="FootnoteText"/>
      </w:pPr>
      <w:r>
        <w:rPr>
          <w:rStyle w:val="FootnoteReference"/>
        </w:rPr>
        <w:footnoteRef/>
      </w:r>
      <w:r>
        <w:t xml:space="preserve"> </w:t>
      </w:r>
      <w:r w:rsidRPr="00522D85">
        <w:t>Pub. L. No. 93–112, § 50</w:t>
      </w:r>
      <w:r>
        <w:t>4</w:t>
      </w:r>
      <w:r w:rsidRPr="00522D85">
        <w:t>, 87 Stat. 355, 391 (1973) (codified at 29 U.S.C. § 79</w:t>
      </w:r>
      <w:r>
        <w:t>4</w:t>
      </w:r>
      <w:r w:rsidRPr="00522D85">
        <w:t>).</w:t>
      </w:r>
    </w:p>
  </w:footnote>
  <w:footnote w:id="19">
    <w:p w14:paraId="49DC9C57" w14:textId="7CEB4E46" w:rsidR="00522D85" w:rsidRDefault="00522D85">
      <w:pPr>
        <w:pStyle w:val="FootnoteText"/>
      </w:pPr>
      <w:r>
        <w:rPr>
          <w:rStyle w:val="FootnoteReference"/>
        </w:rPr>
        <w:footnoteRef/>
      </w:r>
      <w:r>
        <w:t xml:space="preserve"> </w:t>
      </w:r>
      <w:r w:rsidRPr="00522D85">
        <w:t>42 Fed. Reg. 22676 (May 4, 1977)</w:t>
      </w:r>
      <w:r w:rsidR="001D7CFC">
        <w:t xml:space="preserve"> (</w:t>
      </w:r>
      <w:r w:rsidR="007A5BB9">
        <w:t xml:space="preserve">originally </w:t>
      </w:r>
      <w:r w:rsidR="001D7CFC">
        <w:t>codified at 45 C.F.R.</w:t>
      </w:r>
      <w:r w:rsidR="008B6F7D">
        <w:t xml:space="preserve"> pt. 84</w:t>
      </w:r>
      <w:r w:rsidR="00740D0E">
        <w:t xml:space="preserve"> (1977)</w:t>
      </w:r>
      <w:r w:rsidR="008B6F7D">
        <w:t>)</w:t>
      </w:r>
      <w:r w:rsidRPr="00522D85">
        <w:t>.</w:t>
      </w:r>
    </w:p>
  </w:footnote>
  <w:footnote w:id="20">
    <w:p w14:paraId="03A21423" w14:textId="080D5762" w:rsidR="000D0B80" w:rsidRDefault="000D0B80">
      <w:pPr>
        <w:pStyle w:val="FootnoteText"/>
      </w:pPr>
      <w:r>
        <w:rPr>
          <w:rStyle w:val="FootnoteReference"/>
        </w:rPr>
        <w:footnoteRef/>
      </w:r>
      <w:r>
        <w:t xml:space="preserve"> </w:t>
      </w:r>
      <w:r w:rsidRPr="000D0B80">
        <w:t>41 Fed. Reg. 17871 (Apr. 28, 1976).</w:t>
      </w:r>
    </w:p>
  </w:footnote>
  <w:footnote w:id="21">
    <w:p w14:paraId="091F52B1" w14:textId="17A28981" w:rsidR="000D0B80" w:rsidRDefault="000D0B80">
      <w:pPr>
        <w:pStyle w:val="FootnoteText"/>
      </w:pPr>
      <w:r>
        <w:rPr>
          <w:rStyle w:val="FootnoteReference"/>
        </w:rPr>
        <w:footnoteRef/>
      </w:r>
      <w:r>
        <w:t xml:space="preserve"> </w:t>
      </w:r>
      <w:r w:rsidRPr="000D0B80">
        <w:t>43 Fed. Reg. 2132 (Jan. 13, 1978)</w:t>
      </w:r>
      <w:r w:rsidR="008F0FD4">
        <w:t xml:space="preserve"> (</w:t>
      </w:r>
      <w:r w:rsidR="007A5BB9">
        <w:t xml:space="preserve">originally </w:t>
      </w:r>
      <w:r w:rsidR="008F0FD4">
        <w:t xml:space="preserve">codified at </w:t>
      </w:r>
      <w:r w:rsidR="002710A6">
        <w:t>45 C.F.R. pt. 85</w:t>
      </w:r>
      <w:r w:rsidR="00740D0E">
        <w:t xml:space="preserve"> (1978)</w:t>
      </w:r>
      <w:r w:rsidR="002710A6">
        <w:t>)</w:t>
      </w:r>
      <w:r w:rsidRPr="000D0B80">
        <w:t>.</w:t>
      </w:r>
      <w:r w:rsidR="00537989">
        <w:t xml:space="preserve"> The only versions we could find of these regulations were scans of </w:t>
      </w:r>
      <w:r w:rsidR="00A860B4">
        <w:t xml:space="preserve">old Federal Registers. For this reason, we have </w:t>
      </w:r>
      <w:hyperlink r:id="rId2" w:history="1">
        <w:r w:rsidR="00A860B4" w:rsidRPr="00B82061">
          <w:rPr>
            <w:rStyle w:val="Hyperlink"/>
          </w:rPr>
          <w:t>imported them into a Word document</w:t>
        </w:r>
      </w:hyperlink>
      <w:r w:rsidR="00A860B4">
        <w:t xml:space="preserve"> which has been</w:t>
      </w:r>
      <w:r w:rsidR="009413F2">
        <w:t xml:space="preserve"> proofread against the original</w:t>
      </w:r>
      <w:r w:rsidR="00B82061">
        <w:t xml:space="preserve"> by Jordon Henderson, our amazing and talented paralegal</w:t>
      </w:r>
      <w:r w:rsidR="009413F2">
        <w:t xml:space="preserve">. </w:t>
      </w:r>
    </w:p>
  </w:footnote>
  <w:footnote w:id="22">
    <w:p w14:paraId="17627332" w14:textId="77E0E69A" w:rsidR="00DF3677" w:rsidRDefault="00DF3677">
      <w:pPr>
        <w:pStyle w:val="FootnoteText"/>
      </w:pPr>
      <w:r>
        <w:rPr>
          <w:rStyle w:val="FootnoteReference"/>
        </w:rPr>
        <w:footnoteRef/>
      </w:r>
      <w:r>
        <w:t xml:space="preserve"> </w:t>
      </w:r>
      <w:r w:rsidRPr="00DF3677">
        <w:t>In 1981, responsibility for Coordination Regulations was transferred to the DOJ. 46 Fed. Reg. 40686</w:t>
      </w:r>
      <w:r w:rsidR="0032505F">
        <w:t>-01</w:t>
      </w:r>
      <w:r w:rsidRPr="00DF3677">
        <w:t xml:space="preserve"> (Aug. 11, 1981). These regulations are currently codified at 28 C.F.R. pt. 41 (“DOJ Coordination Regulations”).</w:t>
      </w:r>
    </w:p>
  </w:footnote>
  <w:footnote w:id="23">
    <w:p w14:paraId="54803554" w14:textId="260DCD9C" w:rsidR="00DF3677" w:rsidRDefault="00DF3677">
      <w:pPr>
        <w:pStyle w:val="FootnoteText"/>
      </w:pPr>
      <w:r>
        <w:rPr>
          <w:rStyle w:val="FootnoteReference"/>
        </w:rPr>
        <w:footnoteRef/>
      </w:r>
      <w:r>
        <w:t xml:space="preserve"> </w:t>
      </w:r>
      <w:r w:rsidRPr="00DF3677">
        <w:t>Pub. L. No. 95–602</w:t>
      </w:r>
      <w:r w:rsidR="00413CE3">
        <w:t>,</w:t>
      </w:r>
      <w:r w:rsidRPr="00DF3677">
        <w:t xml:space="preserve"> § 119, 92 Stat. 2955, 2982 (1978) (codified at 29 U.S.C. § 794(a)).</w:t>
      </w:r>
    </w:p>
  </w:footnote>
  <w:footnote w:id="24">
    <w:p w14:paraId="2A9368E8" w14:textId="2CAB6BF7" w:rsidR="003B712F" w:rsidRPr="00857ED7" w:rsidRDefault="003B712F">
      <w:pPr>
        <w:pStyle w:val="FootnoteText"/>
      </w:pPr>
      <w:r>
        <w:rPr>
          <w:rStyle w:val="FootnoteReference"/>
        </w:rPr>
        <w:footnoteRef/>
      </w:r>
      <w:r>
        <w:t xml:space="preserve"> </w:t>
      </w:r>
      <w:r w:rsidR="00F411F9">
        <w:t xml:space="preserve">You can review my working chart of these regulations in this Google Doc: </w:t>
      </w:r>
      <w:hyperlink r:id="rId3" w:anchor="gid=1972431317" w:history="1">
        <w:r w:rsidR="00C46CAA" w:rsidRPr="00197E40">
          <w:rPr>
            <w:rStyle w:val="Hyperlink"/>
          </w:rPr>
          <w:t>https://docs.google.com/spreadsheets/d/18Yo4mC4-WFGr0euD2TIRgye3GVmti4ODyDicgTnI8eE/edit?gid=1972431317#gid=1972431317</w:t>
        </w:r>
      </w:hyperlink>
      <w:r w:rsidR="000A2797">
        <w:t>.</w:t>
      </w:r>
      <w:r w:rsidR="00C46CAA">
        <w:t xml:space="preserve"> </w:t>
      </w:r>
      <w:r w:rsidR="00857ED7">
        <w:t xml:space="preserve">It’s definitely a </w:t>
      </w:r>
      <w:r w:rsidR="00857ED7">
        <w:rPr>
          <w:i/>
          <w:iCs/>
        </w:rPr>
        <w:t xml:space="preserve">working </w:t>
      </w:r>
      <w:r w:rsidR="00857ED7">
        <w:t xml:space="preserve">chart, so please </w:t>
      </w:r>
      <w:r w:rsidR="00B55E86">
        <w:t>feel free to let</w:t>
      </w:r>
      <w:r w:rsidR="00857ED7">
        <w:t xml:space="preserve"> me know if you have </w:t>
      </w:r>
      <w:r w:rsidR="00B55E86">
        <w:t xml:space="preserve">comments or corrections. </w:t>
      </w:r>
    </w:p>
  </w:footnote>
  <w:footnote w:id="25">
    <w:p w14:paraId="6FA7DE98" w14:textId="7778A9FA" w:rsidR="00837F01" w:rsidRDefault="00837F01">
      <w:pPr>
        <w:pStyle w:val="FootnoteText"/>
      </w:pPr>
      <w:r>
        <w:rPr>
          <w:rStyle w:val="FootnoteReference"/>
        </w:rPr>
        <w:footnoteRef/>
      </w:r>
      <w:r>
        <w:t xml:space="preserve"> </w:t>
      </w:r>
      <w:r w:rsidR="00D51FE2">
        <w:t>Pub. L. No. 95</w:t>
      </w:r>
      <w:r w:rsidR="00CD6036">
        <w:t xml:space="preserve">-602, </w:t>
      </w:r>
      <w:r w:rsidRPr="00837F01">
        <w:t>§ 118(b)(1) (codified at 29 U.S.C. § 792(b)(1)).</w:t>
      </w:r>
      <w:r w:rsidR="009A16EB">
        <w:t xml:space="preserve"> </w:t>
      </w:r>
      <w:r w:rsidR="00B221B8">
        <w:t xml:space="preserve">The Architectural Barriers Act </w:t>
      </w:r>
      <w:r w:rsidR="00B221B8" w:rsidRPr="00B221B8">
        <w:t>(</w:t>
      </w:r>
      <w:r w:rsidR="00E4431B">
        <w:t>“</w:t>
      </w:r>
      <w:r w:rsidR="00B221B8" w:rsidRPr="00B221B8">
        <w:t>ABA</w:t>
      </w:r>
      <w:r w:rsidR="00E4431B">
        <w:t>”</w:t>
      </w:r>
      <w:r w:rsidR="00B221B8" w:rsidRPr="00B221B8">
        <w:t xml:space="preserve">) </w:t>
      </w:r>
      <w:r w:rsidR="00B221B8">
        <w:t xml:space="preserve">was </w:t>
      </w:r>
      <w:r w:rsidR="00B221B8" w:rsidRPr="00B221B8">
        <w:t>passed in 1968,</w:t>
      </w:r>
      <w:r w:rsidR="00424452">
        <w:t xml:space="preserve"> </w:t>
      </w:r>
      <w:r w:rsidR="00B221B8" w:rsidRPr="00B221B8">
        <w:t>mandating the promulgation of “standards for the design, construction, and alteration” of buildings constructed, altered, leased by, or financed by the federal government to ensure access for people with disabilities.</w:t>
      </w:r>
      <w:r w:rsidR="008A4462">
        <w:t xml:space="preserve"> </w:t>
      </w:r>
      <w:r w:rsidR="003367AD" w:rsidRPr="00424452">
        <w:t xml:space="preserve">Pub. L. No. 90–480, </w:t>
      </w:r>
      <w:r w:rsidR="00057591">
        <w:t>§ 2</w:t>
      </w:r>
      <w:r w:rsidR="00E4431B">
        <w:t xml:space="preserve">, </w:t>
      </w:r>
      <w:r w:rsidR="003367AD" w:rsidRPr="00424452">
        <w:t>82 Stat. 718</w:t>
      </w:r>
      <w:r w:rsidR="00E4431B">
        <w:t>, 719</w:t>
      </w:r>
      <w:r w:rsidR="003367AD" w:rsidRPr="00424452">
        <w:t xml:space="preserve"> (1968) (codified at 42 U.S.C. § 415</w:t>
      </w:r>
      <w:r w:rsidR="003367AD">
        <w:t>2</w:t>
      </w:r>
      <w:r w:rsidR="00E4431B">
        <w:t>).</w:t>
      </w:r>
    </w:p>
  </w:footnote>
  <w:footnote w:id="26">
    <w:p w14:paraId="114C5D0F" w14:textId="710E9750" w:rsidR="00CA3BF4" w:rsidRDefault="00CA3BF4">
      <w:pPr>
        <w:pStyle w:val="FootnoteText"/>
      </w:pPr>
      <w:r>
        <w:rPr>
          <w:rStyle w:val="FootnoteReference"/>
        </w:rPr>
        <w:footnoteRef/>
      </w:r>
      <w:r>
        <w:t xml:space="preserve"> </w:t>
      </w:r>
      <w:r w:rsidRPr="00CA3BF4">
        <w:t>46 Fed. Reg. 4270 (Jan. 16, 1981), withdrawn and revised at 47 Fed. Reg. 33862 (Aug. 4, 1982) (codified at 36 C.F.R. pt 1190 (1982)).</w:t>
      </w:r>
    </w:p>
  </w:footnote>
  <w:footnote w:id="27">
    <w:p w14:paraId="2B98C193" w14:textId="77777777" w:rsidR="0091199E" w:rsidRDefault="0091199E" w:rsidP="0091199E">
      <w:pPr>
        <w:pStyle w:val="FootnoteText"/>
      </w:pPr>
      <w:r>
        <w:rPr>
          <w:rStyle w:val="FootnoteReference"/>
        </w:rPr>
        <w:footnoteRef/>
      </w:r>
      <w:r>
        <w:t xml:space="preserve"> 42 U.S.C. § 12101(a)(5). </w:t>
      </w:r>
    </w:p>
  </w:footnote>
  <w:footnote w:id="28">
    <w:p w14:paraId="1DC1B767" w14:textId="66059996" w:rsidR="008A7376" w:rsidRDefault="008A7376">
      <w:pPr>
        <w:pStyle w:val="FootnoteText"/>
      </w:pPr>
      <w:r>
        <w:rPr>
          <w:rStyle w:val="FootnoteReference"/>
        </w:rPr>
        <w:footnoteRef/>
      </w:r>
      <w:r>
        <w:t xml:space="preserve"> 42 U.S.C. §§ 12111 – 12117.</w:t>
      </w:r>
    </w:p>
  </w:footnote>
  <w:footnote w:id="29">
    <w:p w14:paraId="1BC670C4" w14:textId="43C47AE2" w:rsidR="008A7376" w:rsidRDefault="008A7376">
      <w:pPr>
        <w:pStyle w:val="FootnoteText"/>
      </w:pPr>
      <w:r>
        <w:rPr>
          <w:rStyle w:val="FootnoteReference"/>
        </w:rPr>
        <w:footnoteRef/>
      </w:r>
      <w:r>
        <w:t xml:space="preserve"> 42 U.S.C. §§ </w:t>
      </w:r>
      <w:r w:rsidR="000E346A">
        <w:t>12131 – 12165.</w:t>
      </w:r>
    </w:p>
  </w:footnote>
  <w:footnote w:id="30">
    <w:p w14:paraId="3E01FC38" w14:textId="2CBBFB33" w:rsidR="008F758D" w:rsidRDefault="008F758D">
      <w:pPr>
        <w:pStyle w:val="FootnoteText"/>
      </w:pPr>
      <w:r>
        <w:rPr>
          <w:rStyle w:val="FootnoteReference"/>
        </w:rPr>
        <w:footnoteRef/>
      </w:r>
      <w:r>
        <w:t xml:space="preserve"> </w:t>
      </w:r>
      <w:r w:rsidR="000E346A">
        <w:t xml:space="preserve">42 U.S.C. §§ 12181 – 12189. </w:t>
      </w:r>
    </w:p>
  </w:footnote>
  <w:footnote w:id="31">
    <w:p w14:paraId="67B48BDD" w14:textId="75041FFC" w:rsidR="00560236" w:rsidRDefault="00560236">
      <w:pPr>
        <w:pStyle w:val="FootnoteText"/>
      </w:pPr>
      <w:r>
        <w:rPr>
          <w:rStyle w:val="FootnoteReference"/>
        </w:rPr>
        <w:footnoteRef/>
      </w:r>
      <w:r>
        <w:t xml:space="preserve"> 42 U.S.C. §§ 12201 – 12213. It may be useful to understanding the role the various sections of the ADA play in the definition of discrimination to see the structure of the statute in context:</w:t>
      </w:r>
      <w:r w:rsidR="008A4462">
        <w:t xml:space="preserve"> </w:t>
      </w:r>
      <w:hyperlink r:id="rId4" w:history="1">
        <w:r w:rsidRPr="00FB40BF">
          <w:rPr>
            <w:rStyle w:val="Hyperlink"/>
          </w:rPr>
          <w:t>https://www.law.cornell.edu/uscode/text/42/chapter-126</w:t>
        </w:r>
      </w:hyperlink>
      <w:r>
        <w:t>.</w:t>
      </w:r>
    </w:p>
  </w:footnote>
  <w:footnote w:id="32">
    <w:p w14:paraId="294B0FDD" w14:textId="64267389" w:rsidR="00A413E8" w:rsidRDefault="00A413E8">
      <w:pPr>
        <w:pStyle w:val="FootnoteText"/>
      </w:pPr>
      <w:r>
        <w:rPr>
          <w:rStyle w:val="FootnoteReference"/>
        </w:rPr>
        <w:footnoteRef/>
      </w:r>
      <w:r>
        <w:t xml:space="preserve"> </w:t>
      </w:r>
      <w:r w:rsidR="00E06512">
        <w:t>42 U.S.C. § 12132.</w:t>
      </w:r>
    </w:p>
  </w:footnote>
  <w:footnote w:id="33">
    <w:p w14:paraId="5ECB0446" w14:textId="314D798D" w:rsidR="000A069A" w:rsidRDefault="000A069A" w:rsidP="000A069A">
      <w:pPr>
        <w:pStyle w:val="FootnoteText"/>
      </w:pPr>
      <w:r w:rsidRPr="00F364AE">
        <w:rPr>
          <w:rStyle w:val="FootnoteReference"/>
          <w:i/>
          <w:iCs/>
        </w:rPr>
        <w:footnoteRef/>
      </w:r>
      <w:r>
        <w:t xml:space="preserve"> </w:t>
      </w:r>
      <w:r w:rsidR="00BD3307">
        <w:rPr>
          <w:i/>
          <w:iCs/>
        </w:rPr>
        <w:t>Id</w:t>
      </w:r>
      <w:r w:rsidR="00BD3307" w:rsidRPr="00F364AE">
        <w:t>.</w:t>
      </w:r>
      <w:r>
        <w:t xml:space="preserve"> § 12201(a) (emphasis added).</w:t>
      </w:r>
    </w:p>
  </w:footnote>
  <w:footnote w:id="34">
    <w:p w14:paraId="26A5ABEB" w14:textId="573E9231" w:rsidR="008F47A1" w:rsidRPr="001720A4" w:rsidRDefault="008F47A1">
      <w:pPr>
        <w:pStyle w:val="FootnoteText"/>
      </w:pPr>
      <w:r>
        <w:rPr>
          <w:rStyle w:val="FootnoteReference"/>
        </w:rPr>
        <w:footnoteRef/>
      </w:r>
      <w:r>
        <w:t xml:space="preserve"> </w:t>
      </w:r>
      <w:r w:rsidR="001720A4">
        <w:rPr>
          <w:i/>
          <w:iCs/>
        </w:rPr>
        <w:t>Id.</w:t>
      </w:r>
      <w:r w:rsidR="001720A4">
        <w:t xml:space="preserve"> § 12134(b). </w:t>
      </w:r>
    </w:p>
  </w:footnote>
  <w:footnote w:id="35">
    <w:p w14:paraId="623AE923" w14:textId="3F1FE58B" w:rsidR="00C659F6" w:rsidRPr="00C659F6" w:rsidRDefault="00C659F6">
      <w:pPr>
        <w:pStyle w:val="FootnoteText"/>
      </w:pPr>
      <w:r>
        <w:rPr>
          <w:rStyle w:val="FootnoteReference"/>
        </w:rPr>
        <w:footnoteRef/>
      </w:r>
      <w:r>
        <w:t xml:space="preserve"> </w:t>
      </w:r>
      <w:r>
        <w:rPr>
          <w:i/>
          <w:iCs/>
        </w:rPr>
        <w:t>Id</w:t>
      </w:r>
      <w:r>
        <w:t xml:space="preserve">. § </w:t>
      </w:r>
      <w:r w:rsidR="00A16935">
        <w:t>12134(c).</w:t>
      </w:r>
    </w:p>
  </w:footnote>
  <w:footnote w:id="36">
    <w:p w14:paraId="42DEC010" w14:textId="32236DB2" w:rsidR="005332E9" w:rsidRPr="00034CB2" w:rsidRDefault="005332E9" w:rsidP="005332E9">
      <w:pPr>
        <w:pStyle w:val="FootnoteText"/>
      </w:pPr>
      <w:r>
        <w:rPr>
          <w:rStyle w:val="FootnoteReference"/>
        </w:rPr>
        <w:footnoteRef/>
      </w:r>
      <w:r>
        <w:t xml:space="preserve"> </w:t>
      </w:r>
      <w:r>
        <w:rPr>
          <w:i/>
          <w:iCs/>
        </w:rPr>
        <w:t>Id.</w:t>
      </w:r>
      <w:r>
        <w:t xml:space="preserve"> § 12204(a). </w:t>
      </w:r>
    </w:p>
  </w:footnote>
  <w:footnote w:id="37">
    <w:p w14:paraId="767AEDE4" w14:textId="01D9CCED" w:rsidR="005332E9" w:rsidRDefault="005332E9" w:rsidP="005332E9">
      <w:pPr>
        <w:pStyle w:val="FootnoteText"/>
      </w:pPr>
      <w:r w:rsidRPr="00B5378B">
        <w:rPr>
          <w:rStyle w:val="FootnoteReference"/>
          <w:i/>
          <w:iCs/>
        </w:rPr>
        <w:footnoteRef/>
      </w:r>
      <w:r>
        <w:t xml:space="preserve"> </w:t>
      </w:r>
      <w:r w:rsidR="002B7253">
        <w:rPr>
          <w:i/>
          <w:iCs/>
        </w:rPr>
        <w:t>Id</w:t>
      </w:r>
      <w:r w:rsidR="002B7253">
        <w:t xml:space="preserve">. </w:t>
      </w:r>
      <w:r>
        <w:t>§ 12204(b).</w:t>
      </w:r>
    </w:p>
  </w:footnote>
  <w:footnote w:id="38">
    <w:p w14:paraId="20AB239D" w14:textId="77777777" w:rsidR="00847984" w:rsidRDefault="00847984" w:rsidP="00847984">
      <w:pPr>
        <w:pStyle w:val="FootnoteText"/>
      </w:pPr>
      <w:r>
        <w:rPr>
          <w:rStyle w:val="FootnoteReference"/>
        </w:rPr>
        <w:footnoteRef/>
      </w:r>
      <w:r>
        <w:t xml:space="preserve"> 42 U.S.C. § 12133. </w:t>
      </w:r>
    </w:p>
  </w:footnote>
  <w:footnote w:id="39">
    <w:p w14:paraId="41B8A296" w14:textId="5B0D38DB" w:rsidR="00727F90" w:rsidRDefault="00727F90">
      <w:pPr>
        <w:pStyle w:val="FootnoteText"/>
      </w:pPr>
      <w:r>
        <w:rPr>
          <w:rStyle w:val="FootnoteReference"/>
        </w:rPr>
        <w:footnoteRef/>
      </w:r>
      <w:r>
        <w:t xml:space="preserve"> </w:t>
      </w:r>
      <w:r w:rsidR="006446F0">
        <w:t>29 U.S. C. § 794a</w:t>
      </w:r>
      <w:r w:rsidR="00DB13DD">
        <w:t>(a)(2)</w:t>
      </w:r>
      <w:r w:rsidR="006446F0">
        <w:t>.</w:t>
      </w:r>
    </w:p>
  </w:footnote>
  <w:footnote w:id="40">
    <w:p w14:paraId="41408A70" w14:textId="5B290E81" w:rsidR="00C465BB" w:rsidRDefault="00C465BB">
      <w:pPr>
        <w:pStyle w:val="FootnoteText"/>
      </w:pPr>
      <w:r>
        <w:rPr>
          <w:rStyle w:val="FootnoteReference"/>
        </w:rPr>
        <w:footnoteRef/>
      </w:r>
      <w:r>
        <w:t xml:space="preserve"> 42 U.S.C. § 2000d. </w:t>
      </w:r>
    </w:p>
  </w:footnote>
  <w:footnote w:id="41">
    <w:p w14:paraId="6081FA21" w14:textId="77777777" w:rsidR="00847984" w:rsidRDefault="00847984" w:rsidP="00847984">
      <w:pPr>
        <w:pStyle w:val="FootnoteText"/>
      </w:pPr>
      <w:r>
        <w:rPr>
          <w:rStyle w:val="FootnoteReference"/>
        </w:rPr>
        <w:footnoteRef/>
      </w:r>
      <w:r>
        <w:t xml:space="preserve"> </w:t>
      </w:r>
      <w:r w:rsidRPr="007F3240">
        <w:rPr>
          <w:i/>
          <w:iCs/>
        </w:rPr>
        <w:t>Cannon v. Univ. of Chicago</w:t>
      </w:r>
      <w:r w:rsidRPr="007F3240">
        <w:t xml:space="preserve">, 441 U.S. 677, </w:t>
      </w:r>
      <w:r w:rsidRPr="001B7575">
        <w:t>709</w:t>
      </w:r>
      <w:r w:rsidRPr="007F3240">
        <w:t xml:space="preserve"> (1979)</w:t>
      </w:r>
      <w:r>
        <w:t xml:space="preserve">. </w:t>
      </w:r>
    </w:p>
  </w:footnote>
  <w:footnote w:id="42">
    <w:p w14:paraId="75659F36" w14:textId="77777777" w:rsidR="00847984" w:rsidRDefault="00847984" w:rsidP="00847984">
      <w:pPr>
        <w:pStyle w:val="FootnoteText"/>
      </w:pPr>
      <w:r>
        <w:rPr>
          <w:rStyle w:val="FootnoteReference"/>
        </w:rPr>
        <w:footnoteRef/>
      </w:r>
      <w:r>
        <w:t xml:space="preserve"> </w:t>
      </w:r>
      <w:r w:rsidRPr="00945D62">
        <w:rPr>
          <w:i/>
          <w:iCs/>
        </w:rPr>
        <w:t>Barnes v. Gorman</w:t>
      </w:r>
      <w:r w:rsidRPr="00945D62">
        <w:t>, 536 U.S. 181, 185, 187</w:t>
      </w:r>
      <w:r>
        <w:t xml:space="preserve"> </w:t>
      </w:r>
      <w:r w:rsidRPr="00945D62">
        <w:t>(2002)</w:t>
      </w:r>
      <w:r>
        <w:t xml:space="preserve"> (addressing both Title II and Section 504); </w:t>
      </w:r>
      <w:r w:rsidRPr="009A6637">
        <w:rPr>
          <w:i/>
          <w:iCs/>
        </w:rPr>
        <w:t>Cummings v. Premier Rehab Keller, P.L.L.C</w:t>
      </w:r>
      <w:r w:rsidRPr="009A6637">
        <w:t xml:space="preserve">., </w:t>
      </w:r>
      <w:r w:rsidRPr="00851A7A">
        <w:t>596 U.S. 212</w:t>
      </w:r>
      <w:r>
        <w:t>, 218</w:t>
      </w:r>
      <w:r w:rsidRPr="00851A7A">
        <w:t xml:space="preserve"> </w:t>
      </w:r>
      <w:r w:rsidRPr="009A6637">
        <w:t>(2022)</w:t>
      </w:r>
      <w:r>
        <w:t xml:space="preserve"> (addressing Section 504)</w:t>
      </w:r>
      <w:r w:rsidRPr="009A6637">
        <w:t>.</w:t>
      </w:r>
    </w:p>
  </w:footnote>
  <w:footnote w:id="43">
    <w:p w14:paraId="2B2070CE" w14:textId="64673CB1" w:rsidR="0042031D" w:rsidRDefault="0042031D" w:rsidP="0042031D">
      <w:pPr>
        <w:pStyle w:val="FootnoteText"/>
      </w:pPr>
      <w:r>
        <w:rPr>
          <w:rStyle w:val="FootnoteReference"/>
        </w:rPr>
        <w:footnoteRef/>
      </w:r>
      <w:r>
        <w:t xml:space="preserve"> </w:t>
      </w:r>
      <w:r w:rsidR="004845FE">
        <w:t xml:space="preserve">45 C.F.R. </w:t>
      </w:r>
      <w:r w:rsidRPr="00601037">
        <w:t>§ 85.51(b)(3)</w:t>
      </w:r>
      <w:r w:rsidR="004845FE">
        <w:t xml:space="preserve"> (1978)</w:t>
      </w:r>
      <w:r w:rsidRPr="00601037">
        <w:t>.</w:t>
      </w:r>
    </w:p>
  </w:footnote>
  <w:footnote w:id="44">
    <w:p w14:paraId="16946635" w14:textId="77777777" w:rsidR="0042031D" w:rsidRDefault="0042031D" w:rsidP="0042031D">
      <w:pPr>
        <w:pStyle w:val="FootnoteText"/>
      </w:pPr>
      <w:r>
        <w:rPr>
          <w:rStyle w:val="FootnoteReference"/>
        </w:rPr>
        <w:footnoteRef/>
      </w:r>
      <w:r>
        <w:t xml:space="preserve"> </w:t>
      </w:r>
      <w:r w:rsidRPr="00552265">
        <w:rPr>
          <w:i/>
          <w:iCs/>
        </w:rPr>
        <w:t>Id.</w:t>
      </w:r>
      <w:r w:rsidRPr="00552265">
        <w:t xml:space="preserve"> § 85.51(d).</w:t>
      </w:r>
    </w:p>
  </w:footnote>
  <w:footnote w:id="45">
    <w:p w14:paraId="5621B64A" w14:textId="77777777" w:rsidR="0042031D" w:rsidRDefault="0042031D" w:rsidP="0042031D">
      <w:pPr>
        <w:pStyle w:val="FootnoteText"/>
      </w:pPr>
      <w:r>
        <w:rPr>
          <w:rStyle w:val="FootnoteReference"/>
        </w:rPr>
        <w:footnoteRef/>
      </w:r>
      <w:r>
        <w:t xml:space="preserve"> </w:t>
      </w:r>
      <w:r w:rsidRPr="00552265">
        <w:t>28 C.F.R. § 39.160(a) (1990).</w:t>
      </w:r>
    </w:p>
  </w:footnote>
  <w:footnote w:id="46">
    <w:p w14:paraId="665B0B76" w14:textId="77777777" w:rsidR="0042031D" w:rsidRDefault="0042031D" w:rsidP="0042031D">
      <w:pPr>
        <w:pStyle w:val="FootnoteText"/>
      </w:pPr>
      <w:r>
        <w:rPr>
          <w:rStyle w:val="FootnoteReference"/>
        </w:rPr>
        <w:footnoteRef/>
      </w:r>
      <w:r>
        <w:t xml:space="preserve"> </w:t>
      </w:r>
      <w:r w:rsidRPr="00EB2E7C">
        <w:rPr>
          <w:i/>
          <w:iCs/>
        </w:rPr>
        <w:t>Id.</w:t>
      </w:r>
      <w:r w:rsidRPr="00EB2E7C">
        <w:t xml:space="preserve"> § 39.151; </w:t>
      </w:r>
      <w:r>
        <w:rPr>
          <w:i/>
          <w:iCs/>
        </w:rPr>
        <w:t xml:space="preserve">see also </w:t>
      </w:r>
      <w:r>
        <w:t>Minimum Guidelines and Requirements for Accessible Design</w:t>
      </w:r>
      <w:r w:rsidRPr="00EB2E7C">
        <w:t>, 47 Fed. Reg. 33862 (Aug. 4, 1982) (originally codified at 36 C.F.R. pt. 1190 (1983)).</w:t>
      </w:r>
    </w:p>
  </w:footnote>
  <w:footnote w:id="47">
    <w:p w14:paraId="4DD39677" w14:textId="77777777" w:rsidR="0042031D" w:rsidRDefault="0042031D" w:rsidP="0042031D">
      <w:pPr>
        <w:pStyle w:val="FootnoteText"/>
      </w:pPr>
      <w:r>
        <w:rPr>
          <w:rStyle w:val="FootnoteReference"/>
        </w:rPr>
        <w:footnoteRef/>
      </w:r>
      <w:r>
        <w:t xml:space="preserve"> </w:t>
      </w:r>
      <w:r w:rsidRPr="00EB2E7C">
        <w:t>28 C.F.R. § 39.150(a) (1990).</w:t>
      </w:r>
    </w:p>
  </w:footnote>
  <w:footnote w:id="48">
    <w:p w14:paraId="494042F3" w14:textId="30F80389" w:rsidR="0042031D" w:rsidRDefault="0042031D" w:rsidP="0042031D">
      <w:pPr>
        <w:pStyle w:val="FootnoteText"/>
      </w:pPr>
      <w:r>
        <w:rPr>
          <w:rStyle w:val="FootnoteReference"/>
        </w:rPr>
        <w:footnoteRef/>
      </w:r>
      <w:r>
        <w:t xml:space="preserve"> </w:t>
      </w:r>
      <w:r w:rsidR="009A2E59">
        <w:rPr>
          <w:i/>
          <w:iCs/>
        </w:rPr>
        <w:t xml:space="preserve">Alexander v. </w:t>
      </w:r>
      <w:r w:rsidR="004779F3" w:rsidRPr="004779F3">
        <w:rPr>
          <w:i/>
          <w:iCs/>
        </w:rPr>
        <w:t>Choate</w:t>
      </w:r>
      <w:r w:rsidR="004779F3">
        <w:t xml:space="preserve">, </w:t>
      </w:r>
      <w:r w:rsidR="0031144A">
        <w:t xml:space="preserve">469 U.S. 287, 301 (1985). </w:t>
      </w:r>
      <w:r w:rsidRPr="00B13BA4">
        <w:t xml:space="preserve">(“[T]o assure meaningful access, reasonable accommodations in the grantee’s program or benefit may have to be made”). </w:t>
      </w:r>
    </w:p>
  </w:footnote>
  <w:footnote w:id="49">
    <w:p w14:paraId="41553773" w14:textId="59EBB596" w:rsidR="0042031D" w:rsidRPr="00BC37B5" w:rsidRDefault="0042031D" w:rsidP="0042031D">
      <w:pPr>
        <w:pStyle w:val="FootnoteText"/>
      </w:pPr>
      <w:r>
        <w:rPr>
          <w:rStyle w:val="FootnoteReference"/>
        </w:rPr>
        <w:footnoteRef/>
      </w:r>
      <w:r>
        <w:t xml:space="preserve"> </w:t>
      </w:r>
      <w:r>
        <w:rPr>
          <w:i/>
          <w:iCs/>
        </w:rPr>
        <w:t>See Sandoval</w:t>
      </w:r>
      <w:r>
        <w:t xml:space="preserve">, 532 U.S. </w:t>
      </w:r>
      <w:r w:rsidR="004779F3">
        <w:t>at</w:t>
      </w:r>
      <w:r>
        <w:t xml:space="preserve"> 285 (holding that no private right of action exists to enforce regulations that “forbid conduct that [the statute] permits”). </w:t>
      </w:r>
    </w:p>
  </w:footnote>
  <w:footnote w:id="50">
    <w:p w14:paraId="44303696" w14:textId="6636E523" w:rsidR="00F46125" w:rsidRDefault="00F46125" w:rsidP="00F46125">
      <w:pPr>
        <w:pStyle w:val="FootnoteText"/>
      </w:pPr>
      <w:r>
        <w:rPr>
          <w:rStyle w:val="FootnoteReference"/>
        </w:rPr>
        <w:footnoteRef/>
      </w:r>
      <w:r>
        <w:t xml:space="preserve"> </w:t>
      </w:r>
      <w:r w:rsidRPr="00186020">
        <w:t>In 1979, the Department of Health, Education and Welfare (HEW) was redesignated the Department of Health and Human Services (HHS). Pub. L. No. 96–88</w:t>
      </w:r>
      <w:r w:rsidR="007A655E">
        <w:t>,</w:t>
      </w:r>
      <w:r w:rsidRPr="00186020">
        <w:t xml:space="preserve"> § 509, 93 Stat. 668, 695 (1979).</w:t>
      </w:r>
    </w:p>
  </w:footnote>
  <w:footnote w:id="51">
    <w:p w14:paraId="52BD5F0C" w14:textId="77777777" w:rsidR="00DF3E84" w:rsidRDefault="00DF3E84" w:rsidP="00DF3E84">
      <w:pPr>
        <w:pStyle w:val="FootnoteText"/>
      </w:pPr>
      <w:r>
        <w:rPr>
          <w:rStyle w:val="FootnoteReference"/>
        </w:rPr>
        <w:footnoteRef/>
      </w:r>
      <w:r>
        <w:t xml:space="preserve"> </w:t>
      </w:r>
      <w:r w:rsidRPr="00186020">
        <w:rPr>
          <w:i/>
          <w:iCs/>
        </w:rPr>
        <w:t>Consol. Rail Corp. v. Darrone</w:t>
      </w:r>
      <w:r w:rsidRPr="00186020">
        <w:t>, 465 U.S. 624, 634 n.15 (1984).</w:t>
      </w:r>
    </w:p>
  </w:footnote>
  <w:footnote w:id="52">
    <w:p w14:paraId="4489A7EE" w14:textId="2F8EFDAD" w:rsidR="00DF3E84" w:rsidRPr="00F3760A" w:rsidRDefault="00DF3E84" w:rsidP="00DF3E84">
      <w:pPr>
        <w:pStyle w:val="FootnoteText"/>
      </w:pPr>
      <w:r>
        <w:rPr>
          <w:rStyle w:val="FootnoteReference"/>
        </w:rPr>
        <w:footnoteRef/>
      </w:r>
      <w:r>
        <w:t xml:space="preserve"> </w:t>
      </w:r>
      <w:r w:rsidRPr="00F31D0C">
        <w:rPr>
          <w:i/>
          <w:iCs/>
        </w:rPr>
        <w:t xml:space="preserve">Sch. Bd. of Nassau </w:t>
      </w:r>
      <w:proofErr w:type="spellStart"/>
      <w:r w:rsidRPr="00F31D0C">
        <w:rPr>
          <w:i/>
          <w:iCs/>
        </w:rPr>
        <w:t>Cnty</w:t>
      </w:r>
      <w:proofErr w:type="spellEnd"/>
      <w:r w:rsidRPr="00F31D0C">
        <w:rPr>
          <w:i/>
          <w:iCs/>
        </w:rPr>
        <w:t>.</w:t>
      </w:r>
      <w:r w:rsidR="00524425">
        <w:rPr>
          <w:i/>
          <w:iCs/>
        </w:rPr>
        <w:t>, Fla.</w:t>
      </w:r>
      <w:r w:rsidRPr="00F31D0C">
        <w:rPr>
          <w:i/>
          <w:iCs/>
        </w:rPr>
        <w:t xml:space="preserve"> v. Arline</w:t>
      </w:r>
      <w:r w:rsidRPr="00F31D0C">
        <w:t>, 480 U.S. 273, 279 (1987) (internal citations omitted)</w:t>
      </w:r>
      <w:r>
        <w:t xml:space="preserve">; </w:t>
      </w:r>
      <w:r>
        <w:rPr>
          <w:i/>
          <w:iCs/>
        </w:rPr>
        <w:t>see also Traynor v. Turnage</w:t>
      </w:r>
      <w:r>
        <w:t>, 485 U.S. 535, 550</w:t>
      </w:r>
      <w:r w:rsidR="00167761">
        <w:t xml:space="preserve"> n.10</w:t>
      </w:r>
      <w:r>
        <w:t xml:space="preserve"> (1988) (same). </w:t>
      </w:r>
    </w:p>
  </w:footnote>
  <w:footnote w:id="53">
    <w:p w14:paraId="6FFC2E9F" w14:textId="7516358E" w:rsidR="00DF3E84" w:rsidRDefault="00DF3E84" w:rsidP="00DF3E84">
      <w:pPr>
        <w:pStyle w:val="FootnoteText"/>
      </w:pPr>
      <w:r>
        <w:rPr>
          <w:rStyle w:val="FootnoteReference"/>
        </w:rPr>
        <w:footnoteRef/>
      </w:r>
      <w:r>
        <w:t xml:space="preserve"> </w:t>
      </w:r>
      <w:r w:rsidRPr="00AE1912">
        <w:rPr>
          <w:i/>
          <w:iCs/>
        </w:rPr>
        <w:t>Lichter v. United States</w:t>
      </w:r>
      <w:r w:rsidRPr="008B4240">
        <w:t>, 334 U.S. 742, 783 (1948)</w:t>
      </w:r>
      <w:r w:rsidR="000C2BC9">
        <w:t>;</w:t>
      </w:r>
      <w:r w:rsidR="000C2BC9" w:rsidRPr="000C2BC9">
        <w:rPr>
          <w:i/>
          <w:iCs/>
        </w:rPr>
        <w:t xml:space="preserve"> </w:t>
      </w:r>
      <w:r w:rsidR="000C2BC9" w:rsidRPr="008D718A">
        <w:rPr>
          <w:i/>
          <w:iCs/>
        </w:rPr>
        <w:t>see also, e.g.</w:t>
      </w:r>
      <w:r w:rsidR="000C2BC9" w:rsidRPr="008D718A">
        <w:t>,</w:t>
      </w:r>
      <w:r w:rsidR="000C2BC9" w:rsidRPr="008D718A">
        <w:rPr>
          <w:i/>
          <w:iCs/>
        </w:rPr>
        <w:t xml:space="preserve"> Hikvision USA, Inc. v. FCC</w:t>
      </w:r>
      <w:r w:rsidR="000C2BC9" w:rsidRPr="008D718A">
        <w:t>, 97 F.4th 938, 946, 947 n.5 (D.C. Cir. 2024) (holding that Congress “affirmatively ratified” a list of banned equipment previously identified by the FCC when it referred to the relevant regulation in statutory language)</w:t>
      </w:r>
      <w:r w:rsidR="000C2BC9">
        <w:t>.</w:t>
      </w:r>
    </w:p>
  </w:footnote>
  <w:footnote w:id="54">
    <w:p w14:paraId="38958FCF" w14:textId="0057A046" w:rsidR="00DF3E84" w:rsidRDefault="00DF3E84" w:rsidP="00DF3E84">
      <w:pPr>
        <w:pStyle w:val="FootnoteText"/>
      </w:pPr>
      <w:r>
        <w:rPr>
          <w:rStyle w:val="FootnoteReference"/>
        </w:rPr>
        <w:footnoteRef/>
      </w:r>
      <w:r>
        <w:t xml:space="preserve"> </w:t>
      </w:r>
      <w:r w:rsidRPr="00A7713C">
        <w:rPr>
          <w:i/>
          <w:iCs/>
        </w:rPr>
        <w:t>Helen L. v. DiDario</w:t>
      </w:r>
      <w:r>
        <w:t xml:space="preserve">, </w:t>
      </w:r>
      <w:r w:rsidRPr="008D718A">
        <w:t>46 F.3d 325, 332 (3d Cir. 1995) (emphasis added; internal citations omitted)</w:t>
      </w:r>
      <w:r w:rsidR="000C2BC9">
        <w:t>.</w:t>
      </w:r>
    </w:p>
  </w:footnote>
  <w:footnote w:id="55">
    <w:p w14:paraId="5DAF16DC" w14:textId="146ED148" w:rsidR="002A1DF4" w:rsidRPr="00E3767B" w:rsidRDefault="002A1DF4">
      <w:pPr>
        <w:pStyle w:val="FootnoteText"/>
        <w:rPr>
          <w:i/>
          <w:iCs/>
        </w:rPr>
      </w:pPr>
      <w:r>
        <w:rPr>
          <w:rStyle w:val="FootnoteReference"/>
        </w:rPr>
        <w:footnoteRef/>
      </w:r>
      <w:r>
        <w:t xml:space="preserve"> </w:t>
      </w:r>
      <w:proofErr w:type="spellStart"/>
      <w:r w:rsidR="00610F52" w:rsidRPr="00103EF9">
        <w:rPr>
          <w:i/>
          <w:iCs/>
        </w:rPr>
        <w:t>Shotz</w:t>
      </w:r>
      <w:proofErr w:type="spellEnd"/>
      <w:r w:rsidR="00610F52" w:rsidRPr="00103EF9">
        <w:rPr>
          <w:i/>
          <w:iCs/>
        </w:rPr>
        <w:t xml:space="preserve"> v. City of Plantation</w:t>
      </w:r>
      <w:r w:rsidR="00367559">
        <w:rPr>
          <w:i/>
          <w:iCs/>
        </w:rPr>
        <w:t>, Fla.</w:t>
      </w:r>
      <w:r w:rsidR="00610F52" w:rsidRPr="00103EF9">
        <w:t>, 344 F.3d 1161, 1179 (11th Cir. 2003)</w:t>
      </w:r>
      <w:r w:rsidR="00E3767B">
        <w:t xml:space="preserve">; </w:t>
      </w:r>
      <w:r w:rsidR="00E3767B">
        <w:rPr>
          <w:i/>
          <w:iCs/>
        </w:rPr>
        <w:t xml:space="preserve">see also </w:t>
      </w:r>
      <w:r w:rsidR="00E3767B" w:rsidRPr="00F2648D">
        <w:rPr>
          <w:i/>
          <w:iCs/>
        </w:rPr>
        <w:t xml:space="preserve">Marcus v. Kansas </w:t>
      </w:r>
      <w:proofErr w:type="spellStart"/>
      <w:r w:rsidR="00E3767B" w:rsidRPr="00F2648D">
        <w:rPr>
          <w:i/>
          <w:iCs/>
        </w:rPr>
        <w:t>Dep’t</w:t>
      </w:r>
      <w:proofErr w:type="spellEnd"/>
      <w:r w:rsidR="00E3767B" w:rsidRPr="00F2648D">
        <w:rPr>
          <w:i/>
          <w:iCs/>
        </w:rPr>
        <w:t xml:space="preserve"> of Revenue</w:t>
      </w:r>
      <w:r w:rsidR="00E3767B" w:rsidRPr="00103EF9">
        <w:t xml:space="preserve">, 170 F.3d 1305, 1306 n.1 (10th Cir. 1999) (quoting </w:t>
      </w:r>
      <w:r w:rsidR="00E3767B" w:rsidRPr="00F2648D">
        <w:rPr>
          <w:i/>
          <w:iCs/>
        </w:rPr>
        <w:t>Helen L</w:t>
      </w:r>
      <w:r w:rsidR="00E3767B" w:rsidRPr="00103EF9">
        <w:t>.);</w:t>
      </w:r>
      <w:r w:rsidR="00E3767B">
        <w:t xml:space="preserve"> </w:t>
      </w:r>
      <w:r w:rsidR="00E3767B" w:rsidRPr="00F2648D">
        <w:rPr>
          <w:i/>
          <w:iCs/>
        </w:rPr>
        <w:t>Messier v. Southbury Training Sch</w:t>
      </w:r>
      <w:r w:rsidR="00E3767B" w:rsidRPr="00103EF9">
        <w:t>., 916 F. Supp. 133, 141 (D. Conn. 1996) (“Additionally, when Congress, in enacting a statute, explicitly approves of prior administrative interpretations of a law, Congress is treated as having adopted such interpretations.</w:t>
      </w:r>
      <w:r w:rsidR="00E3767B">
        <w:t xml:space="preserve"> </w:t>
      </w:r>
      <w:r w:rsidR="00E3767B" w:rsidRPr="00103EF9">
        <w:t>. . .</w:t>
      </w:r>
      <w:r w:rsidR="00E3767B">
        <w:t xml:space="preserve"> </w:t>
      </w:r>
      <w:r w:rsidR="00E3767B" w:rsidRPr="00103EF9">
        <w:t>Thus, Congress’s instruction to the Attorney General to promulgate regulations under the ADA consistent with those promulgated under Section 504 indicates congressional approval of the above-cited specific prohibitions.”).</w:t>
      </w:r>
    </w:p>
  </w:footnote>
  <w:footnote w:id="56">
    <w:p w14:paraId="5CBAD063" w14:textId="313EE201" w:rsidR="00DF3E84" w:rsidRDefault="00DF3E84" w:rsidP="00DF3E84">
      <w:pPr>
        <w:pStyle w:val="FootnoteText"/>
      </w:pPr>
      <w:r>
        <w:rPr>
          <w:rStyle w:val="FootnoteReference"/>
        </w:rPr>
        <w:footnoteRef/>
      </w:r>
      <w:r>
        <w:t xml:space="preserve"> </w:t>
      </w:r>
      <w:r w:rsidRPr="00C10F7E">
        <w:rPr>
          <w:i/>
          <w:iCs/>
        </w:rPr>
        <w:t>Georgia v. Public.Resource.org, Inc</w:t>
      </w:r>
      <w:r w:rsidRPr="00C10F7E">
        <w:t>., 590 U.S. 255, 270 (2020)</w:t>
      </w:r>
      <w:r>
        <w:t xml:space="preserve"> (quoting </w:t>
      </w:r>
      <w:proofErr w:type="spellStart"/>
      <w:r w:rsidRPr="00A668F1">
        <w:rPr>
          <w:i/>
          <w:iCs/>
        </w:rPr>
        <w:t>Helsinn</w:t>
      </w:r>
      <w:proofErr w:type="spellEnd"/>
      <w:r w:rsidRPr="00A668F1">
        <w:rPr>
          <w:i/>
          <w:iCs/>
        </w:rPr>
        <w:t xml:space="preserve"> Healthcare S.A. v. Teva Pharms. USA, Inc</w:t>
      </w:r>
      <w:r w:rsidRPr="00A668F1">
        <w:t>., 586 U.S. 123, 131 (2019)</w:t>
      </w:r>
      <w:r>
        <w:t xml:space="preserve">). </w:t>
      </w:r>
    </w:p>
  </w:footnote>
  <w:footnote w:id="57">
    <w:p w14:paraId="7EFDBF21" w14:textId="578E0E4A" w:rsidR="00DF3E84" w:rsidRPr="008873DB" w:rsidRDefault="00DF3E84" w:rsidP="00DF3E84">
      <w:pPr>
        <w:pStyle w:val="FootnoteText"/>
      </w:pPr>
      <w:r>
        <w:rPr>
          <w:rStyle w:val="FootnoteReference"/>
        </w:rPr>
        <w:footnoteRef/>
      </w:r>
      <w:r>
        <w:t xml:space="preserve"> </w:t>
      </w:r>
      <w:r w:rsidRPr="003622AC">
        <w:rPr>
          <w:i/>
          <w:iCs/>
        </w:rPr>
        <w:t>Toyota Motor Mfg., Kentucky, Inc. v. Williams</w:t>
      </w:r>
      <w:r w:rsidRPr="003622AC">
        <w:t>, 534 U.S. 184 (2002</w:t>
      </w:r>
      <w:r>
        <w:t>)</w:t>
      </w:r>
      <w:r w:rsidR="00A977E0">
        <w:t xml:space="preserve">, </w:t>
      </w:r>
      <w:r w:rsidR="00A977E0">
        <w:rPr>
          <w:i/>
          <w:iCs/>
        </w:rPr>
        <w:t>superseded by statute</w:t>
      </w:r>
      <w:r w:rsidR="00A977E0">
        <w:t xml:space="preserve">, Americans with Disabilities Act of 2008, Pub. L. No. 110-325, 122 Stat. </w:t>
      </w:r>
      <w:r w:rsidR="00AC6488">
        <w:t>3553</w:t>
      </w:r>
      <w:r w:rsidR="001D2CBC">
        <w:t xml:space="preserve"> (2008)</w:t>
      </w:r>
      <w:r>
        <w:t>.</w:t>
      </w:r>
    </w:p>
  </w:footnote>
  <w:footnote w:id="58">
    <w:p w14:paraId="679A4155" w14:textId="7FD24171" w:rsidR="00DF3E84" w:rsidRPr="009A40FF" w:rsidRDefault="00DF3E84" w:rsidP="00DF3E84">
      <w:pPr>
        <w:pStyle w:val="FootnoteText"/>
      </w:pPr>
      <w:r>
        <w:rPr>
          <w:rStyle w:val="FootnoteReference"/>
        </w:rPr>
        <w:footnoteRef/>
      </w:r>
      <w:r>
        <w:t xml:space="preserve"> </w:t>
      </w:r>
      <w:r>
        <w:rPr>
          <w:i/>
          <w:iCs/>
        </w:rPr>
        <w:t>Id.</w:t>
      </w:r>
      <w:r>
        <w:t xml:space="preserve"> at 193-94 (citing </w:t>
      </w:r>
      <w:r w:rsidRPr="00F02962">
        <w:rPr>
          <w:i/>
          <w:iCs/>
        </w:rPr>
        <w:t>Bragdon</w:t>
      </w:r>
      <w:r w:rsidR="00FE60DA">
        <w:rPr>
          <w:i/>
          <w:iCs/>
        </w:rPr>
        <w:t xml:space="preserve"> v. Abbott</w:t>
      </w:r>
      <w:r w:rsidRPr="00F02962">
        <w:t xml:space="preserve">, 524 U.S. </w:t>
      </w:r>
      <w:r w:rsidR="00066893">
        <w:t>624,</w:t>
      </w:r>
      <w:r>
        <w:t xml:space="preserve"> 6</w:t>
      </w:r>
      <w:r w:rsidRPr="00F02962">
        <w:t>31</w:t>
      </w:r>
      <w:r w:rsidR="00066893">
        <w:t xml:space="preserve"> (1998)</w:t>
      </w:r>
      <w:r>
        <w:t>;</w:t>
      </w:r>
      <w:r w:rsidRPr="00F02962">
        <w:t xml:space="preserve"> </w:t>
      </w:r>
      <w:r w:rsidRPr="00F02962">
        <w:rPr>
          <w:i/>
          <w:iCs/>
        </w:rPr>
        <w:t>FDIC v. Philadelphia Gear Corp</w:t>
      </w:r>
      <w:r w:rsidRPr="00F02962">
        <w:t>., 476 U.S. 426, 437–38</w:t>
      </w:r>
      <w:r>
        <w:t xml:space="preserve"> </w:t>
      </w:r>
      <w:r w:rsidRPr="00F02962">
        <w:t xml:space="preserve">(1986); </w:t>
      </w:r>
      <w:r w:rsidRPr="00F02962">
        <w:rPr>
          <w:i/>
          <w:iCs/>
        </w:rPr>
        <w:t>ICC v. Parker</w:t>
      </w:r>
      <w:r w:rsidRPr="00F02962">
        <w:t>, 326 U.S. 60, 65</w:t>
      </w:r>
      <w:r>
        <w:t xml:space="preserve"> </w:t>
      </w:r>
      <w:r w:rsidRPr="00F02962">
        <w:t>(1945)</w:t>
      </w:r>
      <w:r>
        <w:t xml:space="preserve">). </w:t>
      </w:r>
      <w:r w:rsidRPr="00687C09">
        <w:t xml:space="preserve">The </w:t>
      </w:r>
      <w:r w:rsidR="00332FA8" w:rsidRPr="00332FA8">
        <w:rPr>
          <w:i/>
          <w:iCs/>
        </w:rPr>
        <w:t>Toyota</w:t>
      </w:r>
      <w:r w:rsidR="00332FA8">
        <w:t xml:space="preserve"> </w:t>
      </w:r>
      <w:r w:rsidRPr="00687C09">
        <w:t>Court’s analysis of the definition of disability was superseded by the Americans with Disabilities Act Amendments Act of 2008</w:t>
      </w:r>
      <w:r w:rsidR="00094A42">
        <w:t>.</w:t>
      </w:r>
      <w:r w:rsidRPr="00687C09">
        <w:t xml:space="preserve"> This does not detract from the </w:t>
      </w:r>
      <w:r>
        <w:t xml:space="preserve">principle enunciated in the decision that Congress’s use of the identical language in the ADA and Section 504 implied an adoption of the regulations implementing the latter statute. </w:t>
      </w:r>
    </w:p>
  </w:footnote>
  <w:footnote w:id="59">
    <w:p w14:paraId="57A7CED2" w14:textId="1A581FE9" w:rsidR="00C6511B" w:rsidRPr="00E3621D" w:rsidRDefault="00C6511B">
      <w:pPr>
        <w:pStyle w:val="FootnoteText"/>
      </w:pPr>
      <w:r>
        <w:rPr>
          <w:rStyle w:val="FootnoteReference"/>
        </w:rPr>
        <w:footnoteRef/>
      </w:r>
      <w:r>
        <w:t xml:space="preserve"> </w:t>
      </w:r>
      <w:r w:rsidR="00E3621D">
        <w:rPr>
          <w:i/>
          <w:iCs/>
        </w:rPr>
        <w:t>Toyota</w:t>
      </w:r>
      <w:r w:rsidR="00E3621D">
        <w:t xml:space="preserve">, 534 U.S. at 193-94. </w:t>
      </w:r>
    </w:p>
  </w:footnote>
  <w:footnote w:id="60">
    <w:p w14:paraId="20863FDE" w14:textId="62881684" w:rsidR="00E802FB" w:rsidRDefault="00E802FB">
      <w:pPr>
        <w:pStyle w:val="FootnoteText"/>
      </w:pPr>
      <w:r>
        <w:rPr>
          <w:rStyle w:val="FootnoteReference"/>
        </w:rPr>
        <w:footnoteRef/>
      </w:r>
      <w:r>
        <w:t xml:space="preserve"> </w:t>
      </w:r>
      <w:r w:rsidRPr="00E802FB">
        <w:rPr>
          <w:i/>
          <w:iCs/>
        </w:rPr>
        <w:t>Bragdon</w:t>
      </w:r>
      <w:r w:rsidRPr="00E802FB">
        <w:t>, 524 U.S.</w:t>
      </w:r>
      <w:r w:rsidR="00066893">
        <w:t xml:space="preserve"> at</w:t>
      </w:r>
      <w:r w:rsidRPr="00E802FB">
        <w:t xml:space="preserve"> 645</w:t>
      </w:r>
      <w:r>
        <w:t xml:space="preserve">. </w:t>
      </w:r>
    </w:p>
  </w:footnote>
  <w:footnote w:id="61">
    <w:p w14:paraId="47499273" w14:textId="5AA6EB62" w:rsidR="0055487F" w:rsidRDefault="0055487F" w:rsidP="0055487F">
      <w:pPr>
        <w:pStyle w:val="FootnoteText"/>
      </w:pPr>
      <w:r>
        <w:rPr>
          <w:rStyle w:val="FootnoteReference"/>
        </w:rPr>
        <w:footnoteRef/>
      </w:r>
      <w:r>
        <w:t xml:space="preserve"> </w:t>
      </w:r>
      <w:r w:rsidRPr="00691A2C">
        <w:rPr>
          <w:i/>
          <w:iCs/>
        </w:rPr>
        <w:t>Lorillard v. Pons</w:t>
      </w:r>
      <w:r w:rsidRPr="005E4077">
        <w:t>, 434 U.S. 575, 580 (1978</w:t>
      </w:r>
      <w:r w:rsidR="00C561E9">
        <w:t xml:space="preserve">); </w:t>
      </w:r>
      <w:r w:rsidR="00C561E9" w:rsidRPr="00540250">
        <w:rPr>
          <w:i/>
          <w:iCs/>
        </w:rPr>
        <w:t>see</w:t>
      </w:r>
      <w:r w:rsidR="00C561E9">
        <w:rPr>
          <w:i/>
          <w:iCs/>
        </w:rPr>
        <w:t xml:space="preserve"> also</w:t>
      </w:r>
      <w:r w:rsidR="00C561E9" w:rsidRPr="00540250">
        <w:rPr>
          <w:i/>
          <w:iCs/>
        </w:rPr>
        <w:t>, e.g.</w:t>
      </w:r>
      <w:r w:rsidR="00352428">
        <w:t>,</w:t>
      </w:r>
      <w:r w:rsidR="00C561E9" w:rsidRPr="00540250">
        <w:rPr>
          <w:i/>
          <w:iCs/>
        </w:rPr>
        <w:t xml:space="preserve"> Commodity Futures Trading Comm’n v. Schor</w:t>
      </w:r>
      <w:r w:rsidR="00C561E9" w:rsidRPr="00540250">
        <w:t>, 478 U.S. 833, 846 (1986) (“It is well established that when Congress revisits a statute giving rise to a longstanding administrative interpretation without pertinent change, the ‘congressional failure to revise or repeal the agency’s interpretation is persuasive evidence that the interpretation is the one intended by Congress.’”);</w:t>
      </w:r>
      <w:r w:rsidR="00C561E9">
        <w:t xml:space="preserve"> </w:t>
      </w:r>
      <w:r w:rsidR="00C561E9" w:rsidRPr="00160873">
        <w:rPr>
          <w:i/>
          <w:iCs/>
        </w:rPr>
        <w:t>N. Haven Bd. of Ed. v. Bell</w:t>
      </w:r>
      <w:r w:rsidR="00C561E9">
        <w:t xml:space="preserve">, 456 U.S. 512, 535 (1982) (“Where ‘an agency’s statutory construction has been “fully brought to the attention of the public and the Congress,” and the latter has not sought to alter that interpretation although it has amended the statute in other respects, then presumably the legislative intent has been correctly discerned,’” ) (quoting </w:t>
      </w:r>
      <w:r w:rsidR="00C561E9" w:rsidRPr="000D4A11">
        <w:rPr>
          <w:i/>
          <w:iCs/>
        </w:rPr>
        <w:t>United States v. Rutherford</w:t>
      </w:r>
      <w:r w:rsidR="00C561E9">
        <w:t xml:space="preserve">, 442 U.S. 544, 554, n. 10 (1979)); </w:t>
      </w:r>
      <w:r w:rsidR="00C561E9" w:rsidRPr="00540250">
        <w:rPr>
          <w:i/>
          <w:iCs/>
        </w:rPr>
        <w:t>NLRB v. Bell Aerospace Co. Div. of Textron, Inc.</w:t>
      </w:r>
      <w:r w:rsidR="00C561E9" w:rsidRPr="00540250">
        <w:t xml:space="preserve">, 416 U.S. 267, 274–75 (1974) (“In addition to the importance of legislative history, a court may </w:t>
      </w:r>
      <w:r w:rsidR="00C561E9" w:rsidRPr="005B52FF">
        <w:t>accord</w:t>
      </w:r>
      <w:r w:rsidR="00C561E9" w:rsidRPr="00540250">
        <w:t xml:space="preserve"> great weight to the longstanding interpretation placed on a statute by an agency charged with its administration. This is especially so where Congress has re-enacted the statute without pertinent change. In these circumstances, congressional failure to revise or repeal the agency’s interpretation is persuasive evidence that the interpretation is the one intended by Congress. We have also recognized that subsequent legislation declaring the intent of an earlier statute is entitled to significant weight.”</w:t>
      </w:r>
      <w:r w:rsidR="004D776D">
        <w:t xml:space="preserve"> (footnote citations omitted)</w:t>
      </w:r>
      <w:r w:rsidR="00C561E9" w:rsidRPr="00540250">
        <w:t>).</w:t>
      </w:r>
    </w:p>
  </w:footnote>
  <w:footnote w:id="62">
    <w:p w14:paraId="64AFFB9A" w14:textId="0E3A6D7F" w:rsidR="00DF3E84" w:rsidRDefault="00DF3E84" w:rsidP="00DF3E84">
      <w:pPr>
        <w:pStyle w:val="FootnoteText"/>
      </w:pPr>
      <w:r>
        <w:rPr>
          <w:rStyle w:val="FootnoteReference"/>
        </w:rPr>
        <w:footnoteRef/>
      </w:r>
      <w:r>
        <w:t xml:space="preserve"> </w:t>
      </w:r>
      <w:r w:rsidRPr="000F58C2">
        <w:rPr>
          <w:i/>
          <w:iCs/>
        </w:rPr>
        <w:t>Reinhart</w:t>
      </w:r>
      <w:r w:rsidR="000F58C2">
        <w:t>, 2025 WL 2426820</w:t>
      </w:r>
      <w:r w:rsidR="0044441D">
        <w:t>,</w:t>
      </w:r>
      <w:r>
        <w:t xml:space="preserve"> at *6.</w:t>
      </w:r>
      <w:r w:rsidR="008A4462">
        <w:t xml:space="preserve"> </w:t>
      </w:r>
    </w:p>
  </w:footnote>
  <w:footnote w:id="63">
    <w:p w14:paraId="11841BC6" w14:textId="13B581F1" w:rsidR="00DF3E84" w:rsidRDefault="00DF3E84" w:rsidP="00DF3E84">
      <w:pPr>
        <w:pStyle w:val="FootnoteText"/>
      </w:pPr>
      <w:r>
        <w:rPr>
          <w:rStyle w:val="FootnoteReference"/>
        </w:rPr>
        <w:footnoteRef/>
      </w:r>
      <w:r>
        <w:t xml:space="preserve"> </w:t>
      </w:r>
      <w:r w:rsidRPr="00026EB5">
        <w:rPr>
          <w:i/>
          <w:iCs/>
        </w:rPr>
        <w:t>Cannon</w:t>
      </w:r>
      <w:r w:rsidRPr="00026EB5">
        <w:t xml:space="preserve">, 441 U.S. </w:t>
      </w:r>
      <w:r w:rsidR="00F4059A">
        <w:t>at</w:t>
      </w:r>
      <w:r w:rsidRPr="00026EB5">
        <w:t xml:space="preserve"> 696–97.</w:t>
      </w:r>
    </w:p>
  </w:footnote>
  <w:footnote w:id="64">
    <w:p w14:paraId="142A30CE" w14:textId="094FE98F" w:rsidR="00DF3E84" w:rsidRDefault="00DF3E84" w:rsidP="00DF3E84">
      <w:pPr>
        <w:pStyle w:val="FootnoteText"/>
      </w:pPr>
      <w:r>
        <w:rPr>
          <w:rStyle w:val="FootnoteReference"/>
        </w:rPr>
        <w:footnoteRef/>
      </w:r>
      <w:r>
        <w:t xml:space="preserve"> </w:t>
      </w:r>
      <w:r w:rsidRPr="00026EB5">
        <w:rPr>
          <w:i/>
          <w:iCs/>
        </w:rPr>
        <w:t>See</w:t>
      </w:r>
      <w:r w:rsidR="00676108">
        <w:rPr>
          <w:i/>
          <w:iCs/>
        </w:rPr>
        <w:t>, e.g.</w:t>
      </w:r>
      <w:r w:rsidR="00676108">
        <w:t>,</w:t>
      </w:r>
      <w:r w:rsidRPr="00026EB5">
        <w:rPr>
          <w:i/>
          <w:iCs/>
        </w:rPr>
        <w:t xml:space="preserve"> United States v. Bd. of Comm’rs of Sheffield</w:t>
      </w:r>
      <w:r w:rsidR="002128BE">
        <w:rPr>
          <w:i/>
          <w:iCs/>
        </w:rPr>
        <w:t>, Ala.</w:t>
      </w:r>
      <w:r w:rsidRPr="00026EB5">
        <w:t xml:space="preserve">, 435 U.S. 110, 135 (1978) (holding that where “there </w:t>
      </w:r>
      <w:proofErr w:type="spellStart"/>
      <w:r w:rsidRPr="00026EB5">
        <w:t>ha</w:t>
      </w:r>
      <w:proofErr w:type="spellEnd"/>
      <w:r w:rsidRPr="00026EB5">
        <w:t>[s] been a longstanding administrative interpretation of a statute when Congress re-enacted it, and . . . the legislative history of the re-enactment showed that Congress agreed with that interpretation” Congress is deemed to have ratified the interpretation).</w:t>
      </w:r>
    </w:p>
  </w:footnote>
  <w:footnote w:id="65">
    <w:p w14:paraId="68CE7C8D" w14:textId="4D3C127A" w:rsidR="00447440" w:rsidRDefault="00447440">
      <w:pPr>
        <w:pStyle w:val="FootnoteText"/>
      </w:pPr>
      <w:r>
        <w:rPr>
          <w:rStyle w:val="FootnoteReference"/>
        </w:rPr>
        <w:footnoteRef/>
      </w:r>
      <w:r>
        <w:t xml:space="preserve"> </w:t>
      </w:r>
      <w:r w:rsidRPr="00854F76">
        <w:rPr>
          <w:i/>
          <w:iCs/>
        </w:rPr>
        <w:t>Reinhart</w:t>
      </w:r>
      <w:r w:rsidR="00854F76">
        <w:t>, 2025 WL 2426820</w:t>
      </w:r>
      <w:r w:rsidR="00BA5561">
        <w:t>,</w:t>
      </w:r>
      <w:r>
        <w:t xml:space="preserve"> at </w:t>
      </w:r>
      <w:r w:rsidR="004174D5">
        <w:t>*9</w:t>
      </w:r>
      <w:r>
        <w:t>.</w:t>
      </w:r>
      <w:r w:rsidR="00071411">
        <w:t xml:space="preserve"> </w:t>
      </w:r>
    </w:p>
  </w:footnote>
  <w:footnote w:id="66">
    <w:p w14:paraId="319F1951" w14:textId="77777777" w:rsidR="00DF3E84" w:rsidRDefault="00DF3E84" w:rsidP="00DF3E84">
      <w:pPr>
        <w:pStyle w:val="FootnoteText"/>
      </w:pPr>
      <w:r>
        <w:rPr>
          <w:rStyle w:val="FootnoteReference"/>
        </w:rPr>
        <w:footnoteRef/>
      </w:r>
      <w:r>
        <w:t xml:space="preserve"> </w:t>
      </w:r>
      <w:r w:rsidRPr="00535CA7">
        <w:t>Pub. L. No. 95–602, § 120, 92 Stat. 2955, 2982 (1978); Pub. L. No. 99–506, § 1003, 100 Stat. 1807, 1845 (1986); Pub. L. No. 100–259, § 4, 102 Stat 28, 29 (1988); Pub. L. No. 102–569, § 506, 106 Stat 4344, 4428 (1992).</w:t>
      </w:r>
    </w:p>
  </w:footnote>
  <w:footnote w:id="67">
    <w:p w14:paraId="3F9B0108" w14:textId="77777777" w:rsidR="00DF3E84" w:rsidRDefault="00DF3E84" w:rsidP="00DF3E84">
      <w:pPr>
        <w:pStyle w:val="FootnoteText"/>
      </w:pPr>
      <w:r>
        <w:rPr>
          <w:rStyle w:val="FootnoteReference"/>
        </w:rPr>
        <w:footnoteRef/>
      </w:r>
      <w:r>
        <w:t xml:space="preserve"> </w:t>
      </w:r>
      <w:r w:rsidRPr="00535CA7">
        <w:t>The ADA Amendments Act of 2008, Pub. L. No. 110–325, 122 Stat. 3553 (2008).</w:t>
      </w:r>
    </w:p>
  </w:footnote>
  <w:footnote w:id="68">
    <w:p w14:paraId="38836A1F" w14:textId="0CFDC326" w:rsidR="00DF3E84" w:rsidRDefault="00DF3E84" w:rsidP="00DF3E84">
      <w:pPr>
        <w:pStyle w:val="FootnoteText"/>
      </w:pPr>
      <w:r>
        <w:rPr>
          <w:rStyle w:val="FootnoteReference"/>
        </w:rPr>
        <w:footnoteRef/>
      </w:r>
      <w:r>
        <w:t xml:space="preserve"> </w:t>
      </w:r>
      <w:r>
        <w:rPr>
          <w:i/>
          <w:iCs/>
        </w:rPr>
        <w:t xml:space="preserve">See also </w:t>
      </w:r>
      <w:r w:rsidRPr="008D718A">
        <w:rPr>
          <w:i/>
          <w:iCs/>
        </w:rPr>
        <w:t>Helen L.</w:t>
      </w:r>
      <w:r w:rsidRPr="008D718A">
        <w:t xml:space="preserve">, 46 F.3d </w:t>
      </w:r>
      <w:r w:rsidR="0038294C">
        <w:t>at</w:t>
      </w:r>
      <w:r w:rsidRPr="008D718A">
        <w:t xml:space="preserve"> 332 </w:t>
      </w:r>
      <w:r>
        <w:t>(“</w:t>
      </w:r>
      <w:r w:rsidRPr="00811663">
        <w:t>The same is true when Congress agrees with an administrative interpretation of a statute which Congress is re-enacting.</w:t>
      </w:r>
      <w:r>
        <w:t xml:space="preserve"> </w:t>
      </w:r>
      <w:r w:rsidRPr="00811663">
        <w:t>. . .</w:t>
      </w:r>
      <w:r>
        <w:t xml:space="preserve"> </w:t>
      </w:r>
      <w:r w:rsidRPr="00811663">
        <w:t>Although Title II of the ADA is not a re-enactment of section 504, it does extend section 504’s anti-discrimination principles to public entities</w:t>
      </w:r>
      <w:r>
        <w:t>”</w:t>
      </w:r>
      <w:r w:rsidRPr="008D718A">
        <w:t>)</w:t>
      </w:r>
      <w:r>
        <w:t>.</w:t>
      </w:r>
    </w:p>
  </w:footnote>
  <w:footnote w:id="69">
    <w:p w14:paraId="248AF56A" w14:textId="3EA2340B" w:rsidR="00DF3E84" w:rsidRPr="00BB006B" w:rsidRDefault="00DF3E84" w:rsidP="00DF3E84">
      <w:pPr>
        <w:pStyle w:val="FootnoteText"/>
      </w:pPr>
      <w:r w:rsidRPr="00BB006B">
        <w:rPr>
          <w:rStyle w:val="FootnoteReference"/>
        </w:rPr>
        <w:footnoteRef/>
      </w:r>
      <w:r w:rsidRPr="00BB006B">
        <w:t xml:space="preserve"> </w:t>
      </w:r>
      <w:r w:rsidRPr="00BB006B">
        <w:rPr>
          <w:i/>
          <w:iCs/>
        </w:rPr>
        <w:t>See generally</w:t>
      </w:r>
      <w:r w:rsidR="00A02C80" w:rsidRPr="00BB006B">
        <w:rPr>
          <w:i/>
          <w:iCs/>
        </w:rPr>
        <w:t>,</w:t>
      </w:r>
      <w:r w:rsidRPr="00BB006B">
        <w:t xml:space="preserve"> </w:t>
      </w:r>
      <w:r w:rsidRPr="00BB006B">
        <w:rPr>
          <w:i/>
          <w:iCs/>
        </w:rPr>
        <w:t>Implementation of Section 504, Rehab</w:t>
      </w:r>
      <w:r w:rsidR="00854573">
        <w:rPr>
          <w:i/>
          <w:iCs/>
        </w:rPr>
        <w:t>ilitation</w:t>
      </w:r>
      <w:r w:rsidRPr="00BB006B">
        <w:rPr>
          <w:i/>
          <w:iCs/>
        </w:rPr>
        <w:t xml:space="preserve"> Act of 1973, Hearings Before the </w:t>
      </w:r>
      <w:proofErr w:type="spellStart"/>
      <w:r w:rsidRPr="00BB006B">
        <w:rPr>
          <w:i/>
          <w:iCs/>
        </w:rPr>
        <w:t>Subcomm</w:t>
      </w:r>
      <w:proofErr w:type="spellEnd"/>
      <w:r w:rsidRPr="00BB006B">
        <w:rPr>
          <w:i/>
          <w:iCs/>
        </w:rPr>
        <w:t>. on Select Educ. of the Comm. on Educ. and Lab., H.R.</w:t>
      </w:r>
      <w:r w:rsidRPr="00BB006B">
        <w:t>, 95th Cong. (1977)</w:t>
      </w:r>
      <w:r w:rsidR="00874910">
        <w:t xml:space="preserve">; a copy is </w:t>
      </w:r>
      <w:r w:rsidR="00624549">
        <w:t xml:space="preserve">available on our website at </w:t>
      </w:r>
      <w:hyperlink r:id="rId5" w:history="1">
        <w:r w:rsidR="00624549" w:rsidRPr="004E2F30">
          <w:rPr>
            <w:rStyle w:val="Hyperlink"/>
          </w:rPr>
          <w:t>https://foxrob.com/wp-content/uploads/2026/03/1978-04-24-S-Rep-95-890-RA-Amd-1978.pdf</w:t>
        </w:r>
      </w:hyperlink>
      <w:r w:rsidRPr="00BB006B">
        <w:t>.</w:t>
      </w:r>
      <w:r w:rsidR="00624549">
        <w:t xml:space="preserve"> </w:t>
      </w:r>
    </w:p>
  </w:footnote>
  <w:footnote w:id="70">
    <w:p w14:paraId="01F5A84C" w14:textId="5567D572" w:rsidR="00DF3E84" w:rsidRPr="00BB006B" w:rsidRDefault="00DF3E84" w:rsidP="00DF3E84">
      <w:pPr>
        <w:pStyle w:val="FootnoteText"/>
      </w:pPr>
      <w:r w:rsidRPr="00BB006B">
        <w:rPr>
          <w:rStyle w:val="FootnoteReference"/>
        </w:rPr>
        <w:footnoteRef/>
      </w:r>
      <w:r w:rsidRPr="00BB006B">
        <w:t xml:space="preserve"> S. Rep. No. 95–890</w:t>
      </w:r>
      <w:r w:rsidR="00BB02D4" w:rsidRPr="00BB006B">
        <w:t>,</w:t>
      </w:r>
      <w:r w:rsidRPr="00BB006B">
        <w:t xml:space="preserve"> at 19 (1978)</w:t>
      </w:r>
      <w:r w:rsidR="00874910">
        <w:t>; a copy is</w:t>
      </w:r>
      <w:r w:rsidR="00406483">
        <w:t xml:space="preserve"> </w:t>
      </w:r>
      <w:r w:rsidR="00624549">
        <w:t xml:space="preserve">available on our website at </w:t>
      </w:r>
      <w:hyperlink r:id="rId6" w:history="1">
        <w:r w:rsidR="00624549" w:rsidRPr="004E2F30">
          <w:rPr>
            <w:rStyle w:val="Hyperlink"/>
          </w:rPr>
          <w:t>https://foxrob.com/wp-content/uploads/2026/03/1978-04-24-S-Rep-95-890-RA-Amd-1978.pdf</w:t>
        </w:r>
      </w:hyperlink>
      <w:r w:rsidRPr="00BB006B">
        <w:t>.</w:t>
      </w:r>
      <w:r w:rsidR="00624549">
        <w:t xml:space="preserve"> </w:t>
      </w:r>
    </w:p>
  </w:footnote>
  <w:footnote w:id="71">
    <w:p w14:paraId="48461558" w14:textId="77777777" w:rsidR="00DF3E84" w:rsidRPr="00F02487" w:rsidRDefault="00DF3E84" w:rsidP="00DF3E84">
      <w:pPr>
        <w:pStyle w:val="FootnoteText"/>
      </w:pPr>
      <w:r w:rsidRPr="00BB006B">
        <w:rPr>
          <w:rStyle w:val="FootnoteReference"/>
        </w:rPr>
        <w:footnoteRef/>
      </w:r>
      <w:r w:rsidRPr="00BB006B">
        <w:t xml:space="preserve"> </w:t>
      </w:r>
      <w:r w:rsidRPr="00BB006B">
        <w:rPr>
          <w:i/>
          <w:iCs/>
        </w:rPr>
        <w:t>Id.</w:t>
      </w:r>
      <w:r w:rsidRPr="00BB006B">
        <w:t xml:space="preserve"> at 18.</w:t>
      </w:r>
      <w:r>
        <w:t xml:space="preserve"> </w:t>
      </w:r>
    </w:p>
  </w:footnote>
  <w:footnote w:id="72">
    <w:p w14:paraId="43ADB17B" w14:textId="10A99AB7" w:rsidR="00DF3E84" w:rsidRDefault="00DF3E84" w:rsidP="00DF3E84">
      <w:pPr>
        <w:pStyle w:val="FootnoteText"/>
      </w:pPr>
      <w:r>
        <w:rPr>
          <w:rStyle w:val="FootnoteReference"/>
        </w:rPr>
        <w:footnoteRef/>
      </w:r>
      <w:r>
        <w:t xml:space="preserve"> </w:t>
      </w:r>
      <w:r w:rsidRPr="003223C5">
        <w:t xml:space="preserve">29 U.S.C. </w:t>
      </w:r>
      <w:r w:rsidR="00810168">
        <w:t xml:space="preserve">§ </w:t>
      </w:r>
      <w:r w:rsidRPr="003223C5">
        <w:t>794(a) (emphasis added).</w:t>
      </w:r>
    </w:p>
  </w:footnote>
  <w:footnote w:id="73">
    <w:p w14:paraId="797E845C" w14:textId="58C86892" w:rsidR="00DF3E84" w:rsidRPr="00077501" w:rsidRDefault="00DF3E84" w:rsidP="00DF3E84">
      <w:pPr>
        <w:pStyle w:val="FootnoteText"/>
      </w:pPr>
      <w:r>
        <w:rPr>
          <w:rStyle w:val="FootnoteReference"/>
        </w:rPr>
        <w:footnoteRef/>
      </w:r>
      <w:r>
        <w:t xml:space="preserve"> </w:t>
      </w:r>
      <w:r w:rsidR="00077501">
        <w:rPr>
          <w:i/>
          <w:iCs/>
        </w:rPr>
        <w:t xml:space="preserve">See supra </w:t>
      </w:r>
      <w:r w:rsidR="00077501">
        <w:t xml:space="preserve">note 24. </w:t>
      </w:r>
    </w:p>
  </w:footnote>
  <w:footnote w:id="74">
    <w:p w14:paraId="1FAA73F5" w14:textId="41452D25" w:rsidR="00250A94" w:rsidRPr="001B39D8" w:rsidRDefault="00250A94">
      <w:pPr>
        <w:pStyle w:val="FootnoteText"/>
      </w:pPr>
      <w:r>
        <w:rPr>
          <w:rStyle w:val="FootnoteReference"/>
        </w:rPr>
        <w:footnoteRef/>
      </w:r>
      <w:r>
        <w:t xml:space="preserve"> </w:t>
      </w:r>
      <w:r w:rsidRPr="001B39D8">
        <w:rPr>
          <w:i/>
          <w:iCs/>
        </w:rPr>
        <w:t xml:space="preserve">United Sav. </w:t>
      </w:r>
      <w:proofErr w:type="spellStart"/>
      <w:r w:rsidRPr="001B39D8">
        <w:rPr>
          <w:i/>
          <w:iCs/>
        </w:rPr>
        <w:t>Ass'n</w:t>
      </w:r>
      <w:proofErr w:type="spellEnd"/>
      <w:r w:rsidRPr="001B39D8">
        <w:rPr>
          <w:i/>
          <w:iCs/>
        </w:rPr>
        <w:t xml:space="preserve"> of Texas v. Timbers of Inwood Forest Assocs., Ltd</w:t>
      </w:r>
      <w:r w:rsidRPr="00250A94">
        <w:t>., 484 U.S. 365, 371 (1988)</w:t>
      </w:r>
      <w:r w:rsidR="001B39D8">
        <w:t xml:space="preserve">; </w:t>
      </w:r>
      <w:r w:rsidR="001B39D8">
        <w:rPr>
          <w:i/>
          <w:iCs/>
        </w:rPr>
        <w:t>see also K</w:t>
      </w:r>
      <w:r w:rsidR="00AE033B">
        <w:rPr>
          <w:i/>
          <w:iCs/>
        </w:rPr>
        <w:t xml:space="preserve"> M</w:t>
      </w:r>
      <w:r w:rsidR="001B39D8">
        <w:rPr>
          <w:i/>
          <w:iCs/>
        </w:rPr>
        <w:t>art</w:t>
      </w:r>
      <w:r w:rsidR="00AE033B">
        <w:rPr>
          <w:i/>
          <w:iCs/>
        </w:rPr>
        <w:t xml:space="preserve"> v. Cartier, Inc.</w:t>
      </w:r>
      <w:r w:rsidR="00AE033B">
        <w:t>, 486 U.S. 281, 291 (1988)</w:t>
      </w:r>
      <w:r w:rsidR="00762DB5">
        <w:t xml:space="preserve"> (“</w:t>
      </w:r>
      <w:r w:rsidR="00762DB5" w:rsidRPr="00762DB5">
        <w:t>In ascertaining the plain meaning of the statute, the court must look to the particular statutory language at issue, as well as the language and design of the statute as a whole.</w:t>
      </w:r>
      <w:r w:rsidR="00762DB5">
        <w:t>”)</w:t>
      </w:r>
      <w:r w:rsidR="001B39D8">
        <w:t xml:space="preserve">. </w:t>
      </w:r>
    </w:p>
  </w:footnote>
  <w:footnote w:id="75">
    <w:p w14:paraId="03C8E79E" w14:textId="11E4901E" w:rsidR="00CF3E07" w:rsidRDefault="00CF3E07" w:rsidP="00CF3E07">
      <w:pPr>
        <w:pStyle w:val="FootnoteText"/>
      </w:pPr>
      <w:r>
        <w:rPr>
          <w:rStyle w:val="FootnoteReference"/>
        </w:rPr>
        <w:footnoteRef/>
      </w:r>
      <w:r>
        <w:t xml:space="preserve"> </w:t>
      </w:r>
      <w:r w:rsidR="00BF1158">
        <w:t>Antonin Scalia</w:t>
      </w:r>
      <w:r w:rsidR="00295E48">
        <w:t xml:space="preserve"> &amp; Bryan A. Garner</w:t>
      </w:r>
      <w:r w:rsidR="00295E48" w:rsidRPr="008D2E16">
        <w:t>,</w:t>
      </w:r>
      <w:r w:rsidR="00295E48">
        <w:t xml:space="preserve"> </w:t>
      </w:r>
      <w:r w:rsidR="008D2E16">
        <w:t>Reading Law: The Interpretation of Legal Texts</w:t>
      </w:r>
      <w:r>
        <w:t xml:space="preserve"> 143</w:t>
      </w:r>
      <w:r w:rsidR="004A67CF">
        <w:t xml:space="preserve"> (</w:t>
      </w:r>
      <w:r w:rsidR="00D17C07">
        <w:t xml:space="preserve">Kindle </w:t>
      </w:r>
      <w:r w:rsidR="00AE1698">
        <w:t>ed. 2012)</w:t>
      </w:r>
      <w:r>
        <w:t>.</w:t>
      </w:r>
    </w:p>
  </w:footnote>
  <w:footnote w:id="76">
    <w:p w14:paraId="19AEBE7A" w14:textId="10DD9329" w:rsidR="00024CE2" w:rsidRPr="00024CE2" w:rsidRDefault="00024CE2">
      <w:pPr>
        <w:pStyle w:val="FootnoteText"/>
      </w:pPr>
      <w:r>
        <w:rPr>
          <w:rStyle w:val="FootnoteReference"/>
        </w:rPr>
        <w:footnoteRef/>
      </w:r>
      <w:r>
        <w:t xml:space="preserve"> </w:t>
      </w:r>
      <w:r>
        <w:rPr>
          <w:i/>
          <w:iCs/>
        </w:rPr>
        <w:t>King v. Burwell</w:t>
      </w:r>
      <w:r>
        <w:t xml:space="preserve">, </w:t>
      </w:r>
      <w:r w:rsidR="00D40A6E">
        <w:t>576 U.S. 473, 4</w:t>
      </w:r>
      <w:r w:rsidR="007328F7">
        <w:t>86</w:t>
      </w:r>
      <w:r w:rsidR="00D40A6E">
        <w:t xml:space="preserve"> (2015) (</w:t>
      </w:r>
      <w:r w:rsidR="00623142">
        <w:t xml:space="preserve">emphasis added; </w:t>
      </w:r>
      <w:r w:rsidR="00D40A6E">
        <w:t>internal citations omitted)</w:t>
      </w:r>
      <w:r w:rsidR="00600209">
        <w:t xml:space="preserve">; </w:t>
      </w:r>
      <w:r w:rsidR="00600209">
        <w:rPr>
          <w:i/>
          <w:iCs/>
        </w:rPr>
        <w:t xml:space="preserve">see also </w:t>
      </w:r>
      <w:r w:rsidR="00600209" w:rsidRPr="00BD36B6">
        <w:rPr>
          <w:i/>
          <w:iCs/>
        </w:rPr>
        <w:t>Food &amp; Drug Admin. v. Brown &amp; Williamson Tobacco Corp</w:t>
      </w:r>
      <w:r w:rsidR="00600209">
        <w:t xml:space="preserve">., 529 U.S. 120, 132-33 (2000) (“In </w:t>
      </w:r>
      <w:r w:rsidR="00600209" w:rsidRPr="00E24F82">
        <w:t xml:space="preserve">determining whether Congress has specifically addressed the question at issue, a reviewing court should not confine itself to examining a particular statutory provision in isolation. </w:t>
      </w:r>
      <w:r w:rsidR="00600209">
        <w:t xml:space="preserve">. . </w:t>
      </w:r>
      <w:r w:rsidR="00600209" w:rsidRPr="00E24F82">
        <w:t xml:space="preserve">It is a </w:t>
      </w:r>
      <w:r w:rsidR="00600209">
        <w:t>‘</w:t>
      </w:r>
      <w:r w:rsidR="00600209" w:rsidRPr="00E24F82">
        <w:t>fundamental canon of statutory construction that the words of a statute must be read in their context and with a view to their place in the overall statutory scheme.</w:t>
      </w:r>
      <w:r w:rsidR="00600209">
        <w:t>’</w:t>
      </w:r>
      <w:r w:rsidR="00600209" w:rsidRPr="00E24F82">
        <w:t>”</w:t>
      </w:r>
      <w:r w:rsidR="00600209">
        <w:t xml:space="preserve">); </w:t>
      </w:r>
      <w:r w:rsidR="00600209">
        <w:rPr>
          <w:i/>
          <w:iCs/>
        </w:rPr>
        <w:t>superseded by statute</w:t>
      </w:r>
      <w:r w:rsidR="00332C38">
        <w:t xml:space="preserve"> </w:t>
      </w:r>
      <w:r w:rsidR="0087012E">
        <w:rPr>
          <w:i/>
          <w:iCs/>
        </w:rPr>
        <w:t xml:space="preserve">on other grounds </w:t>
      </w:r>
      <w:r w:rsidR="00600209">
        <w:rPr>
          <w:i/>
          <w:iCs/>
        </w:rPr>
        <w:t>as recognized in Food &amp; Drug Admin. v. Wages and White Lion Investments, LLC</w:t>
      </w:r>
      <w:r w:rsidR="00600209">
        <w:t>, 604 U.S. 542 (2025) (internal citations omitted).</w:t>
      </w:r>
    </w:p>
  </w:footnote>
  <w:footnote w:id="77">
    <w:p w14:paraId="5FD37206" w14:textId="5A00BD7F" w:rsidR="004645BD" w:rsidRDefault="004645BD" w:rsidP="004645BD">
      <w:pPr>
        <w:pStyle w:val="FootnoteText"/>
      </w:pPr>
      <w:r>
        <w:rPr>
          <w:rStyle w:val="FootnoteReference"/>
        </w:rPr>
        <w:footnoteRef/>
      </w:r>
      <w:r>
        <w:t xml:space="preserve"> S</w:t>
      </w:r>
      <w:r w:rsidR="00151939">
        <w:t xml:space="preserve">calia </w:t>
      </w:r>
      <w:r>
        <w:t>&amp;</w:t>
      </w:r>
      <w:r w:rsidR="00151939">
        <w:t xml:space="preserve"> </w:t>
      </w:r>
      <w:r>
        <w:t>G</w:t>
      </w:r>
      <w:r w:rsidR="00BF63A8">
        <w:t xml:space="preserve">arner, </w:t>
      </w:r>
      <w:r w:rsidR="00BF63A8">
        <w:rPr>
          <w:i/>
          <w:iCs/>
        </w:rPr>
        <w:t>supra</w:t>
      </w:r>
      <w:r w:rsidR="00BF63A8">
        <w:t xml:space="preserve"> note 7</w:t>
      </w:r>
      <w:r w:rsidR="006701CD">
        <w:t>6</w:t>
      </w:r>
      <w:r w:rsidR="00BF63A8">
        <w:t>,</w:t>
      </w:r>
      <w:r>
        <w:t xml:space="preserve"> at 183 (emphasis added). </w:t>
      </w:r>
    </w:p>
  </w:footnote>
  <w:footnote w:id="78">
    <w:p w14:paraId="332AAE94" w14:textId="5D7ADA53" w:rsidR="00582A4E" w:rsidRPr="00E30614" w:rsidRDefault="00582A4E" w:rsidP="00582A4E">
      <w:pPr>
        <w:pStyle w:val="FootnoteText"/>
      </w:pPr>
      <w:r>
        <w:rPr>
          <w:rStyle w:val="FootnoteReference"/>
        </w:rPr>
        <w:footnoteRef/>
      </w:r>
      <w:r>
        <w:t xml:space="preserve"> </w:t>
      </w:r>
      <w:r w:rsidR="00732A16" w:rsidRPr="00732A16">
        <w:rPr>
          <w:i/>
          <w:iCs/>
        </w:rPr>
        <w:t>Bragdon</w:t>
      </w:r>
      <w:r w:rsidR="00732A16">
        <w:t xml:space="preserve">, </w:t>
      </w:r>
      <w:r w:rsidR="00D40207">
        <w:t>524 U.S.</w:t>
      </w:r>
      <w:r>
        <w:t xml:space="preserve"> at 631-32</w:t>
      </w:r>
      <w:r w:rsidR="00F30A29">
        <w:t xml:space="preserve"> (emphasis added)</w:t>
      </w:r>
      <w:r>
        <w:t xml:space="preserve">. </w:t>
      </w:r>
    </w:p>
  </w:footnote>
  <w:footnote w:id="79">
    <w:p w14:paraId="2F3A0D43" w14:textId="0D1458A9" w:rsidR="004D63E2" w:rsidRPr="00137C5E" w:rsidRDefault="004D63E2">
      <w:pPr>
        <w:pStyle w:val="FootnoteText"/>
      </w:pPr>
      <w:r>
        <w:rPr>
          <w:rStyle w:val="FootnoteReference"/>
        </w:rPr>
        <w:footnoteRef/>
      </w:r>
      <w:r>
        <w:t xml:space="preserve"> </w:t>
      </w:r>
      <w:r>
        <w:rPr>
          <w:i/>
          <w:iCs/>
        </w:rPr>
        <w:t>Id.</w:t>
      </w:r>
      <w:r>
        <w:t xml:space="preserve"> at 632-33</w:t>
      </w:r>
      <w:r w:rsidR="00357075">
        <w:t xml:space="preserve">; </w:t>
      </w:r>
      <w:r w:rsidR="00357075">
        <w:rPr>
          <w:i/>
          <w:iCs/>
        </w:rPr>
        <w:t xml:space="preserve">see also </w:t>
      </w:r>
      <w:hyperlink r:id="rId7" w:history="1">
        <w:r w:rsidR="00C961A7" w:rsidRPr="00C961A7">
          <w:rPr>
            <w:rStyle w:val="Hyperlink"/>
            <w:i/>
            <w:iCs/>
          </w:rPr>
          <w:t xml:space="preserve">Toyota Motor Mfg., Kentucky, Inc. v. Williams, </w:t>
        </w:r>
        <w:r w:rsidR="00C961A7" w:rsidRPr="00C961A7">
          <w:rPr>
            <w:rStyle w:val="Hyperlink"/>
          </w:rPr>
          <w:t>534 U.S. 184, 194 (2002)</w:t>
        </w:r>
      </w:hyperlink>
      <w:r w:rsidR="004154EE">
        <w:t xml:space="preserve"> (quoting </w:t>
      </w:r>
      <w:r w:rsidR="0044418E">
        <w:rPr>
          <w:i/>
          <w:iCs/>
        </w:rPr>
        <w:t>Bragdon</w:t>
      </w:r>
      <w:r w:rsidR="0044418E" w:rsidRPr="00137C5E">
        <w:t>)</w:t>
      </w:r>
      <w:r w:rsidR="0044418E">
        <w:t xml:space="preserve">, </w:t>
      </w:r>
      <w:r w:rsidR="0044418E">
        <w:rPr>
          <w:i/>
          <w:iCs/>
        </w:rPr>
        <w:t>superseded by statute</w:t>
      </w:r>
      <w:r w:rsidR="0044418E">
        <w:t>, Americans with Disabilities Act of 2008, Pub. L. No. 110-325, 122 Stat. 3553 (2008).</w:t>
      </w:r>
    </w:p>
  </w:footnote>
  <w:footnote w:id="80">
    <w:p w14:paraId="44E13EC4" w14:textId="77777777" w:rsidR="00B405B7" w:rsidRDefault="00B405B7" w:rsidP="00B405B7">
      <w:pPr>
        <w:pStyle w:val="FootnoteText"/>
      </w:pPr>
      <w:r>
        <w:rPr>
          <w:rStyle w:val="FootnoteReference"/>
        </w:rPr>
        <w:footnoteRef/>
      </w:r>
      <w:r>
        <w:t xml:space="preserve"> </w:t>
      </w:r>
      <w:r w:rsidRPr="006330D5">
        <w:rPr>
          <w:i/>
          <w:iCs/>
        </w:rPr>
        <w:t>Frame v. City of Arlington</w:t>
      </w:r>
      <w:r w:rsidRPr="006330D5">
        <w:t>, 657 F.3d 215, 223 (5th Cir. 2011)</w:t>
      </w:r>
      <w:r>
        <w:t xml:space="preserve">. </w:t>
      </w:r>
    </w:p>
  </w:footnote>
  <w:footnote w:id="81">
    <w:p w14:paraId="44B3A7AD" w14:textId="5962E1C6" w:rsidR="00A4488A" w:rsidRPr="003F309A" w:rsidRDefault="00A4488A">
      <w:pPr>
        <w:pStyle w:val="FootnoteText"/>
      </w:pPr>
      <w:r>
        <w:rPr>
          <w:rStyle w:val="FootnoteReference"/>
        </w:rPr>
        <w:footnoteRef/>
      </w:r>
      <w:r>
        <w:t xml:space="preserve"> </w:t>
      </w:r>
      <w:r w:rsidR="003F309A">
        <w:rPr>
          <w:i/>
          <w:iCs/>
        </w:rPr>
        <w:t>Id.</w:t>
      </w:r>
      <w:r w:rsidR="003F309A">
        <w:t xml:space="preserve"> at 226-28. </w:t>
      </w:r>
    </w:p>
  </w:footnote>
  <w:footnote w:id="82">
    <w:p w14:paraId="6FE6D11C" w14:textId="029E877C" w:rsidR="00AA2723" w:rsidRPr="00AA2723" w:rsidRDefault="00AA2723">
      <w:pPr>
        <w:pStyle w:val="FootnoteText"/>
      </w:pPr>
      <w:r>
        <w:rPr>
          <w:rStyle w:val="FootnoteReference"/>
        </w:rPr>
        <w:footnoteRef/>
      </w:r>
      <w:r>
        <w:t xml:space="preserve"> </w:t>
      </w:r>
      <w:r>
        <w:rPr>
          <w:i/>
          <w:iCs/>
        </w:rPr>
        <w:t>Id.</w:t>
      </w:r>
      <w:r>
        <w:t xml:space="preserve"> at </w:t>
      </w:r>
      <w:r w:rsidR="001D5CF3">
        <w:t>22</w:t>
      </w:r>
      <w:r w:rsidR="004E3414">
        <w:t xml:space="preserve">8. </w:t>
      </w:r>
    </w:p>
  </w:footnote>
  <w:footnote w:id="83">
    <w:p w14:paraId="0D80699A" w14:textId="3FB56BE4" w:rsidR="009710F5" w:rsidRPr="009710F5" w:rsidRDefault="009710F5">
      <w:pPr>
        <w:pStyle w:val="FootnoteText"/>
      </w:pPr>
      <w:r>
        <w:rPr>
          <w:rStyle w:val="FootnoteReference"/>
        </w:rPr>
        <w:footnoteRef/>
      </w:r>
      <w:r>
        <w:t xml:space="preserve"> </w:t>
      </w:r>
      <w:r>
        <w:rPr>
          <w:i/>
          <w:iCs/>
        </w:rPr>
        <w:t>Id.</w:t>
      </w:r>
      <w:r>
        <w:t xml:space="preserve"> </w:t>
      </w:r>
    </w:p>
  </w:footnote>
  <w:footnote w:id="84">
    <w:p w14:paraId="02FD15AA" w14:textId="0E48B689" w:rsidR="00131903" w:rsidRPr="00131903" w:rsidRDefault="00131903">
      <w:pPr>
        <w:pStyle w:val="FootnoteText"/>
      </w:pPr>
      <w:r>
        <w:rPr>
          <w:rStyle w:val="FootnoteReference"/>
        </w:rPr>
        <w:footnoteRef/>
      </w:r>
      <w:r>
        <w:t xml:space="preserve"> </w:t>
      </w:r>
      <w:r>
        <w:rPr>
          <w:i/>
          <w:iCs/>
        </w:rPr>
        <w:t>Id.</w:t>
      </w:r>
      <w:r>
        <w:t xml:space="preserve"> (emphasis </w:t>
      </w:r>
      <w:r w:rsidR="00316C97">
        <w:t xml:space="preserve">in original). </w:t>
      </w:r>
    </w:p>
  </w:footnote>
  <w:footnote w:id="85">
    <w:p w14:paraId="544B75AF" w14:textId="238B2119" w:rsidR="00CD2F9D" w:rsidRPr="001F0745" w:rsidRDefault="00CD2F9D" w:rsidP="004644A8">
      <w:pPr>
        <w:pStyle w:val="FootnoteText"/>
      </w:pPr>
      <w:r>
        <w:rPr>
          <w:rStyle w:val="FootnoteReference"/>
        </w:rPr>
        <w:footnoteRef/>
      </w:r>
      <w:r>
        <w:t xml:space="preserve"> </w:t>
      </w:r>
      <w:r>
        <w:rPr>
          <w:i/>
          <w:iCs/>
        </w:rPr>
        <w:t>Id.</w:t>
      </w:r>
      <w:r>
        <w:t xml:space="preserve"> (quoting Bragdon, </w:t>
      </w:r>
      <w:r w:rsidR="00D73A19" w:rsidRPr="00D73A19">
        <w:t>524 U.S. at 632</w:t>
      </w:r>
      <w:r w:rsidR="00D73A19">
        <w:t>)</w:t>
      </w:r>
      <w:r w:rsidR="006605E7">
        <w:t xml:space="preserve">; </w:t>
      </w:r>
      <w:r w:rsidR="006605E7">
        <w:rPr>
          <w:i/>
          <w:iCs/>
        </w:rPr>
        <w:t xml:space="preserve">see also </w:t>
      </w:r>
      <w:proofErr w:type="spellStart"/>
      <w:r w:rsidR="001F0745" w:rsidRPr="001F0745">
        <w:rPr>
          <w:i/>
          <w:iCs/>
        </w:rPr>
        <w:t>Bassilios</w:t>
      </w:r>
      <w:proofErr w:type="spellEnd"/>
      <w:r w:rsidR="001F0745" w:rsidRPr="001F0745">
        <w:rPr>
          <w:i/>
          <w:iCs/>
        </w:rPr>
        <w:t xml:space="preserve"> v. City of Torrance, CA</w:t>
      </w:r>
      <w:r w:rsidR="001F0745" w:rsidRPr="001F0745">
        <w:t>, 166 F. Supp. 3d 1061, 1072 (C.D. Cal. 2015)</w:t>
      </w:r>
      <w:r w:rsidR="001F0745">
        <w:t xml:space="preserve"> (citing Section 12201(a) for the proposition that “t</w:t>
      </w:r>
      <w:r w:rsidR="001F0745" w:rsidRPr="001F0745">
        <w:t>he ADA expressly prohibits courts from construing Title II to apply a lesser standard than the RA and its implementing regulations</w:t>
      </w:r>
      <w:r w:rsidR="001F0745">
        <w:t xml:space="preserve">” to support the holding that </w:t>
      </w:r>
      <w:r w:rsidR="0092031C">
        <w:t>on-street parking is covered by Section 12132</w:t>
      </w:r>
      <w:r w:rsidR="00DC49FE">
        <w:t xml:space="preserve">); </w:t>
      </w:r>
      <w:r w:rsidR="004644A8" w:rsidRPr="004644A8">
        <w:rPr>
          <w:i/>
          <w:iCs/>
        </w:rPr>
        <w:t>Kaufman v. Carter</w:t>
      </w:r>
      <w:r w:rsidR="004644A8">
        <w:t>, 952 F. Supp. 520, 530 (W.D. Mich. 1996) (quoting Section 12201(a) and holding that “Congress specifically directed that the regulations pertaining to the Rehabilitation Act were to be incorporated into the ADA</w:t>
      </w:r>
      <w:r w:rsidR="007B6E8D">
        <w:t xml:space="preserve">.”). </w:t>
      </w:r>
    </w:p>
  </w:footnote>
  <w:footnote w:id="86">
    <w:p w14:paraId="12E32912" w14:textId="4D1683B5" w:rsidR="00241672" w:rsidRPr="00024CE2" w:rsidRDefault="00241672" w:rsidP="00241672">
      <w:pPr>
        <w:pStyle w:val="FootnoteText"/>
      </w:pPr>
      <w:r>
        <w:rPr>
          <w:rStyle w:val="FootnoteReference"/>
        </w:rPr>
        <w:footnoteRef/>
      </w:r>
      <w:r>
        <w:t xml:space="preserve"> </w:t>
      </w:r>
      <w:r>
        <w:rPr>
          <w:i/>
          <w:iCs/>
        </w:rPr>
        <w:t>King</w:t>
      </w:r>
      <w:r>
        <w:t xml:space="preserve">, 576 U.S. at </w:t>
      </w:r>
      <w:r w:rsidR="008C17A3">
        <w:t>486</w:t>
      </w:r>
      <w:r>
        <w:t xml:space="preserve"> (internal citations omitted). </w:t>
      </w:r>
    </w:p>
  </w:footnote>
  <w:footnote w:id="87">
    <w:p w14:paraId="1BB42481" w14:textId="00722C1B" w:rsidR="00EA35D5" w:rsidRPr="00D100EE" w:rsidRDefault="00EA35D5">
      <w:pPr>
        <w:pStyle w:val="FootnoteText"/>
      </w:pPr>
      <w:r>
        <w:rPr>
          <w:rStyle w:val="FootnoteReference"/>
        </w:rPr>
        <w:footnoteRef/>
      </w:r>
      <w:r>
        <w:t xml:space="preserve"> The </w:t>
      </w:r>
      <w:r w:rsidRPr="00EA35D5">
        <w:rPr>
          <w:i/>
          <w:iCs/>
        </w:rPr>
        <w:t>Booth</w:t>
      </w:r>
      <w:r>
        <w:t xml:space="preserve"> Concurrence follows suit, </w:t>
      </w:r>
      <w:r w:rsidR="00D100EE">
        <w:t xml:space="preserve">largely </w:t>
      </w:r>
      <w:r>
        <w:t xml:space="preserve">relying on the </w:t>
      </w:r>
      <w:r w:rsidRPr="00EA35D5">
        <w:rPr>
          <w:i/>
          <w:iCs/>
        </w:rPr>
        <w:t>Reinhart</w:t>
      </w:r>
      <w:r>
        <w:t xml:space="preserve"> Concurrence.</w:t>
      </w:r>
      <w:r w:rsidR="00D100EE">
        <w:t xml:space="preserve"> </w:t>
      </w:r>
      <w:r w:rsidR="00D100EE">
        <w:rPr>
          <w:i/>
          <w:iCs/>
        </w:rPr>
        <w:t>Booth</w:t>
      </w:r>
      <w:r w:rsidR="004E7043">
        <w:t xml:space="preserve">, 164 F.4th </w:t>
      </w:r>
      <w:r w:rsidR="00D100EE">
        <w:t xml:space="preserve">at </w:t>
      </w:r>
      <w:r w:rsidR="00697AF2">
        <w:t>596-99</w:t>
      </w:r>
      <w:r w:rsidR="00D100EE">
        <w:t>.</w:t>
      </w:r>
      <w:r w:rsidR="00071411">
        <w:t xml:space="preserve"> </w:t>
      </w:r>
    </w:p>
  </w:footnote>
  <w:footnote w:id="88">
    <w:p w14:paraId="1F04700C" w14:textId="73F59630" w:rsidR="00307BE8" w:rsidRDefault="00307BE8">
      <w:pPr>
        <w:pStyle w:val="FootnoteText"/>
      </w:pPr>
      <w:r>
        <w:rPr>
          <w:rStyle w:val="FootnoteReference"/>
        </w:rPr>
        <w:footnoteRef/>
      </w:r>
      <w:r>
        <w:t xml:space="preserve"> </w:t>
      </w:r>
      <w:r w:rsidR="00F578C1" w:rsidRPr="00854F76">
        <w:rPr>
          <w:i/>
          <w:iCs/>
        </w:rPr>
        <w:t>Reinhart</w:t>
      </w:r>
      <w:r w:rsidR="00854F76">
        <w:t>, 2025 WL 2426820</w:t>
      </w:r>
      <w:r w:rsidR="00435404">
        <w:t>,</w:t>
      </w:r>
      <w:r w:rsidR="00F578C1">
        <w:t xml:space="preserve"> at *6 (quoting </w:t>
      </w:r>
      <w:r w:rsidR="00FF3861" w:rsidRPr="00FF3861">
        <w:t>Black's Law Dictionary (12th ed. 2024)</w:t>
      </w:r>
      <w:r w:rsidR="000F2804">
        <w:t xml:space="preserve"> (emphasis added))</w:t>
      </w:r>
      <w:r w:rsidR="00FF3861">
        <w:t xml:space="preserve">. </w:t>
      </w:r>
    </w:p>
  </w:footnote>
  <w:footnote w:id="89">
    <w:p w14:paraId="3D71BE86" w14:textId="19BDC821" w:rsidR="00480F38" w:rsidRDefault="00480F38">
      <w:pPr>
        <w:pStyle w:val="FootnoteText"/>
      </w:pPr>
      <w:r>
        <w:rPr>
          <w:rStyle w:val="FootnoteReference"/>
        </w:rPr>
        <w:footnoteRef/>
      </w:r>
      <w:r>
        <w:t xml:space="preserve"> The </w:t>
      </w:r>
      <w:r w:rsidRPr="00AB59B4">
        <w:rPr>
          <w:i/>
          <w:iCs/>
        </w:rPr>
        <w:t>Booth</w:t>
      </w:r>
      <w:r>
        <w:t xml:space="preserve"> Concurrence </w:t>
      </w:r>
      <w:r w:rsidR="00FF6D7A">
        <w:t>addresses this issue by distinguishing between de facto and de jure exclusion and denial</w:t>
      </w:r>
      <w:r w:rsidR="005F3755">
        <w:t xml:space="preserve"> – a reasonable way to phrase the distinction – but then dismisses </w:t>
      </w:r>
      <w:r w:rsidR="00AB59B4">
        <w:t xml:space="preserve">this reading </w:t>
      </w:r>
      <w:r w:rsidR="008B44CA">
        <w:t>as</w:t>
      </w:r>
      <w:r w:rsidR="00AB59B4">
        <w:t xml:space="preserve"> </w:t>
      </w:r>
      <w:r w:rsidR="008B44CA">
        <w:t>“</w:t>
      </w:r>
      <w:r w:rsidR="00AB59B4">
        <w:t xml:space="preserve">quite forced.”  164 F.4th at </w:t>
      </w:r>
      <w:r w:rsidR="00681AF0">
        <w:t xml:space="preserve">597. </w:t>
      </w:r>
    </w:p>
  </w:footnote>
  <w:footnote w:id="90">
    <w:p w14:paraId="638841C8" w14:textId="0EFF1FDC" w:rsidR="00783E19" w:rsidRDefault="00783E19">
      <w:pPr>
        <w:pStyle w:val="FootnoteText"/>
      </w:pPr>
      <w:r>
        <w:rPr>
          <w:rStyle w:val="FootnoteReference"/>
        </w:rPr>
        <w:footnoteRef/>
      </w:r>
      <w:r>
        <w:t xml:space="preserve"> </w:t>
      </w:r>
      <w:r w:rsidRPr="00876DFC">
        <w:rPr>
          <w:i/>
          <w:iCs/>
        </w:rPr>
        <w:t>Bragdon</w:t>
      </w:r>
      <w:r>
        <w:t xml:space="preserve">, </w:t>
      </w:r>
      <w:r w:rsidR="00EF3869">
        <w:t>524 U.S. at 632 (</w:t>
      </w:r>
      <w:r>
        <w:t>citing</w:t>
      </w:r>
      <w:r w:rsidR="00EF3869">
        <w:t xml:space="preserve"> </w:t>
      </w:r>
      <w:r w:rsidR="00876DFC">
        <w:t>42 U.S.C. §</w:t>
      </w:r>
      <w:r>
        <w:t xml:space="preserve"> 12201(a)</w:t>
      </w:r>
      <w:r w:rsidR="00876DFC">
        <w:t>)</w:t>
      </w:r>
      <w:r>
        <w:t xml:space="preserve">. </w:t>
      </w:r>
    </w:p>
  </w:footnote>
  <w:footnote w:id="91">
    <w:p w14:paraId="6B05D6A4" w14:textId="7063F887" w:rsidR="000A1875" w:rsidRDefault="000A1875">
      <w:pPr>
        <w:pStyle w:val="FootnoteText"/>
      </w:pPr>
      <w:r>
        <w:rPr>
          <w:rStyle w:val="FootnoteReference"/>
        </w:rPr>
        <w:footnoteRef/>
      </w:r>
      <w:r>
        <w:t xml:space="preserve"> </w:t>
      </w:r>
      <w:r w:rsidRPr="00EE107D">
        <w:rPr>
          <w:i/>
          <w:iCs/>
        </w:rPr>
        <w:t>Reinhart</w:t>
      </w:r>
      <w:r w:rsidR="00EE107D">
        <w:t>, 2025 WL 2426820</w:t>
      </w:r>
      <w:r w:rsidR="004442F7">
        <w:t>,</w:t>
      </w:r>
      <w:r>
        <w:t xml:space="preserve"> at *6 </w:t>
      </w:r>
      <w:r w:rsidR="00721DF0">
        <w:t>(</w:t>
      </w:r>
      <w:r>
        <w:t xml:space="preserve">quoting </w:t>
      </w:r>
      <w:r w:rsidR="00721DF0" w:rsidRPr="00721DF0">
        <w:t>The New Oxford American Dictionary 488 (1st ed. 2001)</w:t>
      </w:r>
      <w:r w:rsidR="00721DF0">
        <w:t>).</w:t>
      </w:r>
    </w:p>
  </w:footnote>
  <w:footnote w:id="92">
    <w:p w14:paraId="6D3AAD1A" w14:textId="36803F5E" w:rsidR="00FB1678" w:rsidRDefault="00FB1678" w:rsidP="00FA2056">
      <w:pPr>
        <w:pStyle w:val="FootnoteText"/>
      </w:pPr>
      <w:r>
        <w:rPr>
          <w:rStyle w:val="FootnoteReference"/>
        </w:rPr>
        <w:footnoteRef/>
      </w:r>
      <w:r>
        <w:t xml:space="preserve"> </w:t>
      </w:r>
      <w:r w:rsidR="00D57CD9">
        <w:rPr>
          <w:i/>
          <w:iCs/>
        </w:rPr>
        <w:t>Discrimination</w:t>
      </w:r>
      <w:r>
        <w:t xml:space="preserve">, </w:t>
      </w:r>
      <w:r w:rsidRPr="00D57CD9">
        <w:t>Black's Law Dictionary</w:t>
      </w:r>
      <w:r>
        <w:t xml:space="preserve"> (12th ed. 2024)</w:t>
      </w:r>
      <w:r w:rsidR="00760582">
        <w:t xml:space="preserve"> (emphasis added)</w:t>
      </w:r>
      <w:r>
        <w:t xml:space="preserve">. </w:t>
      </w:r>
      <w:r w:rsidR="00D1135B">
        <w:t>If we’re really overthinking things and insist on the 1990 edition</w:t>
      </w:r>
      <w:r w:rsidR="000760EA">
        <w:t xml:space="preserve"> of Black’s – that is, the edition from the year the ADA was passed –</w:t>
      </w:r>
      <w:r w:rsidR="00D1135B">
        <w:t xml:space="preserve"> </w:t>
      </w:r>
      <w:r w:rsidR="00892412">
        <w:t xml:space="preserve">this still leaves </w:t>
      </w:r>
      <w:r w:rsidR="005C08F7">
        <w:t>us</w:t>
      </w:r>
      <w:r w:rsidR="00892412">
        <w:t xml:space="preserve"> with this </w:t>
      </w:r>
      <w:r w:rsidR="008C4C7B">
        <w:t xml:space="preserve">very similar </w:t>
      </w:r>
      <w:r w:rsidR="00892412">
        <w:t>definition: “</w:t>
      </w:r>
      <w:r w:rsidR="00FA2056">
        <w:t>In constitutional law, the effect of a statute or established practice which confers particular privileges on a class arbitrarily selected from a large number of persons, all of whom stand in the same relation to the privileges granted and between whom and those not favored no reasonable distinction can be found.”</w:t>
      </w:r>
      <w:r w:rsidR="00184559">
        <w:t xml:space="preserve"> </w:t>
      </w:r>
      <w:r w:rsidR="00C46C28">
        <w:rPr>
          <w:i/>
          <w:iCs/>
        </w:rPr>
        <w:t>Discrimination</w:t>
      </w:r>
      <w:r w:rsidR="00184559">
        <w:t xml:space="preserve">, </w:t>
      </w:r>
      <w:r w:rsidR="00184559" w:rsidRPr="00C46C28">
        <w:t xml:space="preserve">Black’s Law Dictionary </w:t>
      </w:r>
      <w:r w:rsidR="00184559">
        <w:t xml:space="preserve">(6th ed. 1990). </w:t>
      </w:r>
    </w:p>
  </w:footnote>
  <w:footnote w:id="93">
    <w:p w14:paraId="35261231" w14:textId="5427AB2F" w:rsidR="004F3E1E" w:rsidRDefault="004F3E1E" w:rsidP="004F3E1E">
      <w:pPr>
        <w:pStyle w:val="FootnoteText"/>
      </w:pPr>
      <w:r>
        <w:rPr>
          <w:rStyle w:val="FootnoteReference"/>
        </w:rPr>
        <w:footnoteRef/>
      </w:r>
      <w:r>
        <w:t xml:space="preserve"> </w:t>
      </w:r>
      <w:r w:rsidRPr="00EE107D">
        <w:rPr>
          <w:i/>
          <w:iCs/>
        </w:rPr>
        <w:t>Reinhart</w:t>
      </w:r>
      <w:r w:rsidR="00EE107D">
        <w:t>, 2025 WL 2426820</w:t>
      </w:r>
      <w:r w:rsidR="00162CCF">
        <w:t>,</w:t>
      </w:r>
      <w:r>
        <w:t xml:space="preserve"> at *6 (quoting </w:t>
      </w:r>
      <w:r w:rsidRPr="00336A3C">
        <w:rPr>
          <w:i/>
          <w:iCs/>
        </w:rPr>
        <w:t>Olmstead v. L.C. ex rel. Zimring</w:t>
      </w:r>
      <w:r w:rsidRPr="00935E6F">
        <w:t>, 527 U.S. 581, 616 (1999) (Thomas, J., dissenting)</w:t>
      </w:r>
      <w:r>
        <w:t xml:space="preserve">). </w:t>
      </w:r>
    </w:p>
  </w:footnote>
  <w:footnote w:id="94">
    <w:p w14:paraId="3DBD7EC4" w14:textId="39F4B537" w:rsidR="008649DB" w:rsidRDefault="008649DB" w:rsidP="008649DB">
      <w:pPr>
        <w:pStyle w:val="FootnoteText"/>
      </w:pPr>
      <w:r>
        <w:rPr>
          <w:rStyle w:val="FootnoteReference"/>
        </w:rPr>
        <w:footnoteRef/>
      </w:r>
      <w:r>
        <w:t xml:space="preserve"> </w:t>
      </w:r>
      <w:r w:rsidRPr="00336A3C">
        <w:rPr>
          <w:i/>
          <w:iCs/>
        </w:rPr>
        <w:t>Olmstead</w:t>
      </w:r>
      <w:r>
        <w:t xml:space="preserve">, 527 U.S. </w:t>
      </w:r>
      <w:r w:rsidR="00336A3C">
        <w:t>at</w:t>
      </w:r>
      <w:r>
        <w:t xml:space="preserve"> 597.</w:t>
      </w:r>
      <w:r w:rsidR="00213CE3">
        <w:t xml:space="preserve"> </w:t>
      </w:r>
      <w:r w:rsidR="00213CE3">
        <w:rPr>
          <w:i/>
          <w:iCs/>
        </w:rPr>
        <w:t xml:space="preserve">See also infra </w:t>
      </w:r>
      <w:r w:rsidR="00B96C53">
        <w:t>Section VII.B.</w:t>
      </w:r>
    </w:p>
  </w:footnote>
  <w:footnote w:id="95">
    <w:p w14:paraId="055C17A4" w14:textId="3DCC1B06" w:rsidR="00C97643" w:rsidRPr="00AA0029" w:rsidRDefault="00C97643">
      <w:pPr>
        <w:pStyle w:val="FootnoteText"/>
      </w:pPr>
      <w:r>
        <w:rPr>
          <w:rStyle w:val="FootnoteReference"/>
        </w:rPr>
        <w:footnoteRef/>
      </w:r>
      <w:r>
        <w:t xml:space="preserve"> </w:t>
      </w:r>
      <w:r>
        <w:rPr>
          <w:i/>
          <w:iCs/>
        </w:rPr>
        <w:t>Reinhart</w:t>
      </w:r>
      <w:r>
        <w:t>,</w:t>
      </w:r>
      <w:r w:rsidR="00EE107D">
        <w:t xml:space="preserve"> 2025 WL 2426820</w:t>
      </w:r>
      <w:r w:rsidR="00C85544">
        <w:t>,</w:t>
      </w:r>
      <w:r>
        <w:t xml:space="preserve"> at *7</w:t>
      </w:r>
      <w:r w:rsidR="00056033">
        <w:t xml:space="preserve"> (citing 42 U.S.C. </w:t>
      </w:r>
      <w:r w:rsidR="00F21F18">
        <w:t>§</w:t>
      </w:r>
      <w:r w:rsidR="00056033">
        <w:t xml:space="preserve">§ 12112(b)(5)(A) and </w:t>
      </w:r>
      <w:r w:rsidR="00F21F18">
        <w:t>12182(b)(2)(A)(ii))</w:t>
      </w:r>
      <w:r w:rsidR="00AA0029">
        <w:t xml:space="preserve">; </w:t>
      </w:r>
      <w:r w:rsidR="00AA0029">
        <w:rPr>
          <w:i/>
          <w:iCs/>
        </w:rPr>
        <w:t>see also Booth</w:t>
      </w:r>
      <w:r w:rsidR="00AA0029">
        <w:t xml:space="preserve">, </w:t>
      </w:r>
      <w:r w:rsidR="00197A6B">
        <w:t xml:space="preserve">164 F.4th at 597-98. </w:t>
      </w:r>
    </w:p>
  </w:footnote>
  <w:footnote w:id="96">
    <w:p w14:paraId="0EED776E" w14:textId="623DD75F" w:rsidR="004D653B" w:rsidRPr="004D653B" w:rsidRDefault="004D653B">
      <w:pPr>
        <w:pStyle w:val="FootnoteText"/>
      </w:pPr>
      <w:r>
        <w:rPr>
          <w:rStyle w:val="FootnoteReference"/>
        </w:rPr>
        <w:footnoteRef/>
      </w:r>
      <w:r>
        <w:t xml:space="preserve"> </w:t>
      </w:r>
      <w:r>
        <w:rPr>
          <w:i/>
          <w:iCs/>
        </w:rPr>
        <w:t>Id.</w:t>
      </w:r>
      <w:r>
        <w:t xml:space="preserve"> </w:t>
      </w:r>
    </w:p>
  </w:footnote>
  <w:footnote w:id="97">
    <w:p w14:paraId="1E98E6CB" w14:textId="1B7332B8" w:rsidR="00BA5E9C" w:rsidRDefault="00BA5E9C">
      <w:pPr>
        <w:pStyle w:val="FootnoteText"/>
      </w:pPr>
      <w:r>
        <w:rPr>
          <w:rStyle w:val="FootnoteReference"/>
        </w:rPr>
        <w:footnoteRef/>
      </w:r>
      <w:r>
        <w:t xml:space="preserve"> 42 U.S.C. § 12101(a)(5).</w:t>
      </w:r>
    </w:p>
  </w:footnote>
  <w:footnote w:id="98">
    <w:p w14:paraId="75F8E3A3" w14:textId="6DCC7BB0" w:rsidR="00A13290" w:rsidRDefault="00A13290">
      <w:pPr>
        <w:pStyle w:val="FootnoteText"/>
      </w:pPr>
      <w:r>
        <w:rPr>
          <w:rStyle w:val="FootnoteReference"/>
        </w:rPr>
        <w:footnoteRef/>
      </w:r>
      <w:r>
        <w:t xml:space="preserve"> </w:t>
      </w:r>
      <w:r w:rsidRPr="00EE107D">
        <w:rPr>
          <w:i/>
          <w:iCs/>
        </w:rPr>
        <w:t>Reinhart</w:t>
      </w:r>
      <w:r w:rsidR="00EE107D">
        <w:t>, 2025 WL 2426820</w:t>
      </w:r>
      <w:r w:rsidR="001960BD">
        <w:t>,</w:t>
      </w:r>
      <w:r>
        <w:t xml:space="preserve"> at *9. </w:t>
      </w:r>
    </w:p>
  </w:footnote>
  <w:footnote w:id="99">
    <w:p w14:paraId="00BB049F" w14:textId="15FB0665" w:rsidR="00635A96" w:rsidRDefault="00C85753" w:rsidP="00635A96">
      <w:pPr>
        <w:pStyle w:val="FootnoteText"/>
      </w:pPr>
      <w:r>
        <w:rPr>
          <w:rStyle w:val="FootnoteReference"/>
        </w:rPr>
        <w:footnoteRef/>
      </w:r>
      <w:r>
        <w:t xml:space="preserve"> Not every textualist is as enthusiastic about dictionaries as Judge </w:t>
      </w:r>
      <w:proofErr w:type="spellStart"/>
      <w:r>
        <w:t>Readler</w:t>
      </w:r>
      <w:proofErr w:type="spellEnd"/>
      <w:r>
        <w:t xml:space="preserve">. </w:t>
      </w:r>
      <w:r w:rsidR="002B689A">
        <w:t xml:space="preserve">Indeed, </w:t>
      </w:r>
      <w:r w:rsidR="00387B57">
        <w:t xml:space="preserve">in a different case, </w:t>
      </w:r>
      <w:r w:rsidR="002B689A">
        <w:t xml:space="preserve">Judge Murphy – author of the </w:t>
      </w:r>
      <w:r w:rsidR="002B689A" w:rsidRPr="00486003">
        <w:rPr>
          <w:i/>
          <w:iCs/>
        </w:rPr>
        <w:t>Booth</w:t>
      </w:r>
      <w:r w:rsidR="002B689A">
        <w:t xml:space="preserve"> Concurrence – quotes </w:t>
      </w:r>
      <w:r w:rsidR="00E9788C">
        <w:t>Judge Frank Easterbrook</w:t>
      </w:r>
      <w:r w:rsidR="006E7A11">
        <w:t xml:space="preserve">: </w:t>
      </w:r>
    </w:p>
    <w:p w14:paraId="21AD02A8" w14:textId="77777777" w:rsidR="00635A96" w:rsidRDefault="00635A96" w:rsidP="00635A96">
      <w:pPr>
        <w:pStyle w:val="FootnoteText"/>
      </w:pPr>
    </w:p>
    <w:p w14:paraId="3F7E0522" w14:textId="0864C182" w:rsidR="00C85753" w:rsidRDefault="00635A96" w:rsidP="00486003">
      <w:pPr>
        <w:pStyle w:val="FootnoteText"/>
        <w:ind w:left="720"/>
      </w:pPr>
      <w:r>
        <w:t>This case thus epitomizes what one committed textualist has said about statutory interpretation: “In interesting cases, meaning is not ‘plain’; it must be imputed; and the choice among meanings must have a footing more solid than a dictionary</w:t>
      </w:r>
      <w:r w:rsidR="006B7939">
        <w:t xml:space="preserve"> – </w:t>
      </w:r>
      <w:r>
        <w:t xml:space="preserve">which is a museum of words, an historical catalog rather than a means to decode the work of legislatures.” </w:t>
      </w:r>
    </w:p>
    <w:p w14:paraId="0733BF3F" w14:textId="77777777" w:rsidR="00635A96" w:rsidRDefault="00635A96" w:rsidP="00635A96">
      <w:pPr>
        <w:pStyle w:val="FootnoteText"/>
      </w:pPr>
    </w:p>
    <w:p w14:paraId="16A93D67" w14:textId="62744A8A" w:rsidR="00635A96" w:rsidRPr="006E7A11" w:rsidRDefault="00635A96" w:rsidP="00635A96">
      <w:pPr>
        <w:pStyle w:val="FootnoteText"/>
      </w:pPr>
      <w:r w:rsidRPr="006E7A11">
        <w:rPr>
          <w:i/>
          <w:iCs/>
        </w:rPr>
        <w:t>United States v. Hill</w:t>
      </w:r>
      <w:r>
        <w:t>, 963 F.3d 528, 533 (6th Cir. 2020)</w:t>
      </w:r>
      <w:r w:rsidR="00486003">
        <w:t xml:space="preserve"> (quoting Frank H. Easterbrook, </w:t>
      </w:r>
      <w:r w:rsidR="00486003" w:rsidRPr="00656E34">
        <w:rPr>
          <w:i/>
          <w:iCs/>
        </w:rPr>
        <w:t>Text, History, and Structure in Statutory Interpretation</w:t>
      </w:r>
      <w:r w:rsidR="00486003">
        <w:t xml:space="preserve">, 17 Harv. J. L. &amp; Pub. </w:t>
      </w:r>
      <w:proofErr w:type="spellStart"/>
      <w:r w:rsidR="00486003">
        <w:t>Pol'y</w:t>
      </w:r>
      <w:proofErr w:type="spellEnd"/>
      <w:r w:rsidR="00486003">
        <w:t xml:space="preserve"> 61, 67 (1994))</w:t>
      </w:r>
      <w:r w:rsidR="009F6052">
        <w:t xml:space="preserve">. Indeed, Judge Learned Hand cautioned that we must </w:t>
      </w:r>
      <w:r w:rsidR="001146F6">
        <w:t>“not</w:t>
      </w:r>
      <w:r w:rsidR="00071411">
        <w:t xml:space="preserve"> </w:t>
      </w:r>
      <w:r w:rsidR="001146F6">
        <w:t xml:space="preserve">. . . make a fortress out of the dictionary.” </w:t>
      </w:r>
      <w:r w:rsidR="001146F6" w:rsidRPr="001146F6">
        <w:rPr>
          <w:i/>
          <w:iCs/>
        </w:rPr>
        <w:t>Cabell v. Markham</w:t>
      </w:r>
      <w:r w:rsidR="001146F6" w:rsidRPr="001146F6">
        <w:t xml:space="preserve">, 148 F.2d 737, 739 (2d Cir.), </w:t>
      </w:r>
      <w:r w:rsidR="001146F6" w:rsidRPr="004C5C1F">
        <w:rPr>
          <w:i/>
          <w:iCs/>
        </w:rPr>
        <w:t>aff'd</w:t>
      </w:r>
      <w:r w:rsidR="001146F6" w:rsidRPr="001146F6">
        <w:t>, 326 U.S. 404 (1945)</w:t>
      </w:r>
      <w:r w:rsidR="001146F6">
        <w:t xml:space="preserve">. </w:t>
      </w:r>
    </w:p>
  </w:footnote>
  <w:footnote w:id="100">
    <w:p w14:paraId="4102E6AD" w14:textId="7AEE8747" w:rsidR="00B47CE9" w:rsidRDefault="00B47CE9">
      <w:pPr>
        <w:pStyle w:val="FootnoteText"/>
      </w:pPr>
      <w:r>
        <w:rPr>
          <w:rStyle w:val="FootnoteReference"/>
        </w:rPr>
        <w:footnoteRef/>
      </w:r>
      <w:r>
        <w:t xml:space="preserve"> </w:t>
      </w:r>
      <w:r w:rsidRPr="00023A1D">
        <w:rPr>
          <w:i/>
          <w:iCs/>
        </w:rPr>
        <w:t>Reinhart</w:t>
      </w:r>
      <w:r w:rsidR="00023A1D">
        <w:t xml:space="preserve">, </w:t>
      </w:r>
      <w:r w:rsidR="00A94C1D" w:rsidRPr="00A94C1D">
        <w:t>2025 WL 2426820</w:t>
      </w:r>
      <w:r w:rsidR="00B0097C">
        <w:t>,</w:t>
      </w:r>
      <w:r>
        <w:t xml:space="preserve"> at </w:t>
      </w:r>
      <w:r w:rsidR="00931D89">
        <w:t xml:space="preserve">*9. </w:t>
      </w:r>
    </w:p>
  </w:footnote>
  <w:footnote w:id="101">
    <w:p w14:paraId="45555339" w14:textId="3EC082B2" w:rsidR="00811663" w:rsidRDefault="00811663" w:rsidP="00811663">
      <w:pPr>
        <w:pStyle w:val="FootnoteText"/>
      </w:pPr>
      <w:r>
        <w:rPr>
          <w:rStyle w:val="FootnoteReference"/>
        </w:rPr>
        <w:footnoteRef/>
      </w:r>
      <w:r>
        <w:t xml:space="preserve"> </w:t>
      </w:r>
      <w:r w:rsidRPr="00E64325">
        <w:rPr>
          <w:i/>
          <w:iCs/>
        </w:rPr>
        <w:t>Reinhart</w:t>
      </w:r>
      <w:r w:rsidR="00E64325">
        <w:t>, 2025 WL 2426820</w:t>
      </w:r>
      <w:r w:rsidR="0006450D">
        <w:t>,</w:t>
      </w:r>
      <w:r>
        <w:t xml:space="preserve"> at </w:t>
      </w:r>
      <w:r w:rsidR="001771C8">
        <w:t>*9</w:t>
      </w:r>
      <w:r>
        <w:t xml:space="preserve">. </w:t>
      </w:r>
    </w:p>
  </w:footnote>
  <w:footnote w:id="102">
    <w:p w14:paraId="75669A87" w14:textId="77777777" w:rsidR="00811663" w:rsidRDefault="00811663" w:rsidP="00811663">
      <w:pPr>
        <w:pStyle w:val="FootnoteText"/>
      </w:pPr>
      <w:r>
        <w:rPr>
          <w:rStyle w:val="FootnoteReference"/>
        </w:rPr>
        <w:footnoteRef/>
      </w:r>
      <w:r>
        <w:t xml:space="preserve"> </w:t>
      </w:r>
      <w:r w:rsidRPr="00ED2FC1">
        <w:rPr>
          <w:i/>
          <w:iCs/>
        </w:rPr>
        <w:t>United States v. Hensley</w:t>
      </w:r>
      <w:r w:rsidRPr="00ED2FC1">
        <w:t>, 110 F.4th 900, 905 (6th Cir. 2024)</w:t>
      </w:r>
      <w:r>
        <w:t>.</w:t>
      </w:r>
    </w:p>
  </w:footnote>
  <w:footnote w:id="103">
    <w:p w14:paraId="7C4331AA" w14:textId="77777777" w:rsidR="00811663" w:rsidRDefault="00811663" w:rsidP="00811663">
      <w:pPr>
        <w:pStyle w:val="FootnoteText"/>
      </w:pPr>
      <w:r>
        <w:rPr>
          <w:rStyle w:val="FootnoteReference"/>
        </w:rPr>
        <w:footnoteRef/>
      </w:r>
      <w:r>
        <w:t xml:space="preserve"> </w:t>
      </w:r>
      <w:r w:rsidRPr="005151C0">
        <w:rPr>
          <w:i/>
          <w:iCs/>
        </w:rPr>
        <w:t>Epic Sys. Corp. v. Lewis</w:t>
      </w:r>
      <w:r w:rsidRPr="005151C0">
        <w:t>, 584 U.S. 497, 523</w:t>
      </w:r>
      <w:r>
        <w:t xml:space="preserve"> </w:t>
      </w:r>
      <w:r w:rsidRPr="005151C0">
        <w:t>(2018)</w:t>
      </w:r>
      <w:r>
        <w:t>.</w:t>
      </w:r>
    </w:p>
  </w:footnote>
  <w:footnote w:id="104">
    <w:p w14:paraId="38D53414" w14:textId="6BD9F883" w:rsidR="00811663" w:rsidRDefault="00811663" w:rsidP="00811663">
      <w:pPr>
        <w:pStyle w:val="FootnoteText"/>
      </w:pPr>
      <w:r>
        <w:rPr>
          <w:rStyle w:val="FootnoteReference"/>
        </w:rPr>
        <w:footnoteRef/>
      </w:r>
      <w:r>
        <w:t xml:space="preserve"> </w:t>
      </w:r>
      <w:r w:rsidR="0062516B">
        <w:t xml:space="preserve">Scalia &amp; Garner, </w:t>
      </w:r>
      <w:r w:rsidR="0062516B">
        <w:rPr>
          <w:i/>
          <w:iCs/>
        </w:rPr>
        <w:t>supra</w:t>
      </w:r>
      <w:r w:rsidR="0062516B">
        <w:t xml:space="preserve"> note 7</w:t>
      </w:r>
      <w:r w:rsidR="006701CD">
        <w:t>6</w:t>
      </w:r>
      <w:r w:rsidR="0062516B">
        <w:t>, at 288</w:t>
      </w:r>
      <w:r>
        <w:t xml:space="preserve">. </w:t>
      </w:r>
    </w:p>
  </w:footnote>
  <w:footnote w:id="105">
    <w:p w14:paraId="663BBDB4" w14:textId="6B0C2295" w:rsidR="00811663" w:rsidRPr="00772129" w:rsidRDefault="00811663" w:rsidP="00811663">
      <w:pPr>
        <w:pStyle w:val="FootnoteText"/>
      </w:pPr>
      <w:r>
        <w:rPr>
          <w:rStyle w:val="FootnoteReference"/>
        </w:rPr>
        <w:footnoteRef/>
      </w:r>
      <w:r>
        <w:t xml:space="preserve"> </w:t>
      </w:r>
      <w:r>
        <w:rPr>
          <w:i/>
          <w:iCs/>
        </w:rPr>
        <w:t>Id.</w:t>
      </w:r>
      <w:r>
        <w:t xml:space="preserve">; </w:t>
      </w:r>
      <w:r>
        <w:rPr>
          <w:i/>
          <w:iCs/>
        </w:rPr>
        <w:t xml:space="preserve">see also </w:t>
      </w:r>
      <w:r w:rsidRPr="00772129">
        <w:rPr>
          <w:i/>
          <w:iCs/>
        </w:rPr>
        <w:t>Bostock v. Clayton County</w:t>
      </w:r>
      <w:r w:rsidRPr="00772129">
        <w:t xml:space="preserve">, </w:t>
      </w:r>
      <w:r w:rsidR="00681AA7">
        <w:t>590 U.S. 644, 674-75</w:t>
      </w:r>
      <w:r w:rsidRPr="00772129">
        <w:t xml:space="preserve"> (2020)</w:t>
      </w:r>
      <w:r>
        <w:t xml:space="preserve"> (recognizing the role of legislative history in ascertaining meaning).</w:t>
      </w:r>
      <w:r w:rsidR="003D2219">
        <w:t xml:space="preserve"> </w:t>
      </w:r>
    </w:p>
  </w:footnote>
  <w:footnote w:id="106">
    <w:p w14:paraId="45B14533" w14:textId="005F4465" w:rsidR="00811663" w:rsidRDefault="00811663" w:rsidP="00811663">
      <w:pPr>
        <w:pStyle w:val="FootnoteText"/>
      </w:pPr>
      <w:r>
        <w:rPr>
          <w:rStyle w:val="FootnoteReference"/>
        </w:rPr>
        <w:footnoteRef/>
      </w:r>
      <w:r>
        <w:t xml:space="preserve"> </w:t>
      </w:r>
      <w:r w:rsidR="00212C69">
        <w:t xml:space="preserve">Note, </w:t>
      </w:r>
      <w:r w:rsidRPr="003A2918">
        <w:rPr>
          <w:i/>
          <w:iCs/>
        </w:rPr>
        <w:t>The Incompatibility of Textualist and Originalist Approaches to Legislative History</w:t>
      </w:r>
      <w:r w:rsidRPr="008E5AF6">
        <w:t>, 138 Harv. L. Rev. 863</w:t>
      </w:r>
      <w:r>
        <w:t>, 86</w:t>
      </w:r>
      <w:r w:rsidR="00BB6B86">
        <w:t>3</w:t>
      </w:r>
      <w:r>
        <w:t>-65</w:t>
      </w:r>
      <w:r w:rsidRPr="008E5AF6">
        <w:t xml:space="preserve"> (2025)</w:t>
      </w:r>
      <w:r>
        <w:t xml:space="preserve"> (emphasis in original).</w:t>
      </w:r>
    </w:p>
  </w:footnote>
  <w:footnote w:id="107">
    <w:p w14:paraId="3CB886C0" w14:textId="1B4619A8" w:rsidR="00811663" w:rsidRPr="009C2BA5" w:rsidRDefault="00811663" w:rsidP="00811663">
      <w:pPr>
        <w:pStyle w:val="FootnoteText"/>
      </w:pPr>
      <w:r>
        <w:rPr>
          <w:rStyle w:val="FootnoteReference"/>
        </w:rPr>
        <w:footnoteRef/>
      </w:r>
      <w:r>
        <w:t xml:space="preserve"> </w:t>
      </w:r>
      <w:r w:rsidRPr="00F76A9A">
        <w:t>H.R. Rep. No. 101–485</w:t>
      </w:r>
      <w:r w:rsidR="00F937AD">
        <w:t>,</w:t>
      </w:r>
      <w:r w:rsidRPr="00F76A9A">
        <w:t xml:space="preserve"> pt</w:t>
      </w:r>
      <w:r w:rsidR="00F937AD">
        <w:t>.</w:t>
      </w:r>
      <w:r w:rsidRPr="00F76A9A">
        <w:t xml:space="preserve"> 2</w:t>
      </w:r>
      <w:r w:rsidR="00F937AD">
        <w:t>,</w:t>
      </w:r>
      <w:r w:rsidRPr="00F76A9A">
        <w:t xml:space="preserve"> at 84 (1990)</w:t>
      </w:r>
      <w:r>
        <w:t xml:space="preserve">; </w:t>
      </w:r>
      <w:r>
        <w:rPr>
          <w:i/>
          <w:iCs/>
        </w:rPr>
        <w:t xml:space="preserve">see also </w:t>
      </w:r>
      <w:r w:rsidRPr="00F76A9A">
        <w:t>H.R. Rep. No. 101–485</w:t>
      </w:r>
      <w:r w:rsidR="00E76282">
        <w:t>,</w:t>
      </w:r>
      <w:r w:rsidRPr="00F76A9A">
        <w:t xml:space="preserve"> pt</w:t>
      </w:r>
      <w:r w:rsidR="00D76116">
        <w:t>.</w:t>
      </w:r>
      <w:r w:rsidRPr="00F76A9A">
        <w:t xml:space="preserve"> </w:t>
      </w:r>
      <w:r>
        <w:t>3</w:t>
      </w:r>
      <w:r w:rsidR="00E76282">
        <w:t>,</w:t>
      </w:r>
      <w:r w:rsidRPr="00F76A9A">
        <w:t xml:space="preserve"> at </w:t>
      </w:r>
      <w:r>
        <w:t>52</w:t>
      </w:r>
      <w:r w:rsidRPr="00F76A9A">
        <w:t xml:space="preserve"> (1990</w:t>
      </w:r>
      <w:r>
        <w:t>).</w:t>
      </w:r>
    </w:p>
  </w:footnote>
  <w:footnote w:id="108">
    <w:p w14:paraId="39BD5FFA" w14:textId="70BC4BDF" w:rsidR="006F4F05" w:rsidRDefault="006F4F05" w:rsidP="006F4F05">
      <w:pPr>
        <w:pStyle w:val="FootnoteText"/>
      </w:pPr>
      <w:r>
        <w:rPr>
          <w:rStyle w:val="FootnoteReference"/>
        </w:rPr>
        <w:footnoteRef/>
      </w:r>
      <w:r>
        <w:t xml:space="preserve"> </w:t>
      </w:r>
      <w:r w:rsidRPr="00F76A9A">
        <w:t>H.R. Rep. No. 101</w:t>
      </w:r>
      <w:r>
        <w:t>-</w:t>
      </w:r>
      <w:r w:rsidRPr="00F76A9A">
        <w:t>485</w:t>
      </w:r>
      <w:r w:rsidR="00D76116">
        <w:t>,</w:t>
      </w:r>
      <w:r w:rsidRPr="00F76A9A">
        <w:t xml:space="preserve"> pt</w:t>
      </w:r>
      <w:r w:rsidR="00D76116">
        <w:t>.</w:t>
      </w:r>
      <w:r w:rsidRPr="00F76A9A">
        <w:t xml:space="preserve"> </w:t>
      </w:r>
      <w:r>
        <w:t>3</w:t>
      </w:r>
      <w:r w:rsidR="00D76116">
        <w:t>,</w:t>
      </w:r>
      <w:r w:rsidRPr="00F76A9A">
        <w:t xml:space="preserve"> at</w:t>
      </w:r>
      <w:r>
        <w:t xml:space="preserve"> 26.</w:t>
      </w:r>
    </w:p>
  </w:footnote>
  <w:footnote w:id="109">
    <w:p w14:paraId="0E1649B2" w14:textId="5D1A09BE" w:rsidR="00811663" w:rsidRPr="00AC6113" w:rsidRDefault="00811663" w:rsidP="00811663">
      <w:pPr>
        <w:pStyle w:val="FootnoteText"/>
      </w:pPr>
      <w:r>
        <w:rPr>
          <w:rStyle w:val="FootnoteReference"/>
        </w:rPr>
        <w:footnoteRef/>
      </w:r>
      <w:r>
        <w:t xml:space="preserve"> </w:t>
      </w:r>
      <w:r w:rsidR="00793EA0">
        <w:t>H.R. Rep. No. 101-485</w:t>
      </w:r>
      <w:r w:rsidR="00853E05">
        <w:t>, pt. 2, at 84</w:t>
      </w:r>
      <w:r w:rsidR="00F445FD">
        <w:t>;</w:t>
      </w:r>
      <w:r w:rsidR="001652FB">
        <w:t xml:space="preserve"> </w:t>
      </w:r>
      <w:r w:rsidR="00D114AA">
        <w:rPr>
          <w:i/>
          <w:iCs/>
        </w:rPr>
        <w:t>see also id.</w:t>
      </w:r>
      <w:r w:rsidR="00D114AA">
        <w:t xml:space="preserve"> </w:t>
      </w:r>
      <w:r w:rsidR="009F0B6D">
        <w:t>pt. 3, at 52</w:t>
      </w:r>
      <w:r>
        <w:t>.</w:t>
      </w:r>
      <w:r w:rsidR="003D2219">
        <w:t xml:space="preserve"> </w:t>
      </w:r>
    </w:p>
  </w:footnote>
  <w:footnote w:id="110">
    <w:p w14:paraId="5643DF56" w14:textId="347963BC" w:rsidR="009F2FCB" w:rsidRPr="00616B48" w:rsidRDefault="009F2FCB">
      <w:pPr>
        <w:pStyle w:val="FootnoteText"/>
      </w:pPr>
      <w:r>
        <w:rPr>
          <w:rStyle w:val="FootnoteReference"/>
        </w:rPr>
        <w:footnoteRef/>
      </w:r>
      <w:r>
        <w:t xml:space="preserve"> </w:t>
      </w:r>
      <w:r w:rsidR="00616B48">
        <w:rPr>
          <w:i/>
          <w:iCs/>
        </w:rPr>
        <w:t>See Reinhart</w:t>
      </w:r>
      <w:r w:rsidR="00616B48">
        <w:t>, 2025 WL 2426820</w:t>
      </w:r>
      <w:r w:rsidR="00D114AA">
        <w:t>,</w:t>
      </w:r>
      <w:r w:rsidR="00616B48">
        <w:t xml:space="preserve"> at *7</w:t>
      </w:r>
      <w:r w:rsidR="00426CBD">
        <w:t xml:space="preserve">. </w:t>
      </w:r>
    </w:p>
  </w:footnote>
  <w:footnote w:id="111">
    <w:p w14:paraId="0815F242" w14:textId="77777777" w:rsidR="00811663" w:rsidRDefault="00811663" w:rsidP="00811663">
      <w:pPr>
        <w:pStyle w:val="FootnoteText"/>
      </w:pPr>
      <w:r>
        <w:rPr>
          <w:rStyle w:val="FootnoteReference"/>
        </w:rPr>
        <w:footnoteRef/>
      </w:r>
      <w:r>
        <w:t xml:space="preserve"> </w:t>
      </w:r>
      <w:r w:rsidRPr="0006425F">
        <w:rPr>
          <w:i/>
          <w:iCs/>
        </w:rPr>
        <w:t>Compare, e.g.</w:t>
      </w:r>
      <w:r w:rsidRPr="0006425F">
        <w:t xml:space="preserve">, 42 U.S.C. § 12182(b) </w:t>
      </w:r>
      <w:r w:rsidRPr="0006425F">
        <w:rPr>
          <w:i/>
          <w:iCs/>
        </w:rPr>
        <w:t xml:space="preserve">with </w:t>
      </w:r>
      <w:r w:rsidRPr="0006425F">
        <w:t>28 C.F.R. § 35.130(b).</w:t>
      </w:r>
    </w:p>
  </w:footnote>
  <w:footnote w:id="112">
    <w:p w14:paraId="561A6DE0" w14:textId="580C7657" w:rsidR="005A64D1" w:rsidRDefault="005A64D1">
      <w:pPr>
        <w:pStyle w:val="FootnoteText"/>
      </w:pPr>
      <w:r>
        <w:rPr>
          <w:rStyle w:val="FootnoteReference"/>
        </w:rPr>
        <w:footnoteRef/>
      </w:r>
      <w:r>
        <w:t xml:space="preserve"> </w:t>
      </w:r>
      <w:r w:rsidR="004A1CB9">
        <w:t>42 U.S.C. § 12182(b)(2)(A)(ii) (</w:t>
      </w:r>
      <w:r w:rsidR="000555AE">
        <w:t xml:space="preserve">failure to make reasonable modifications where necessary to provide goods and services to disabled people </w:t>
      </w:r>
      <w:r w:rsidR="002A30EB">
        <w:t xml:space="preserve">constitutes discrimination). </w:t>
      </w:r>
    </w:p>
  </w:footnote>
  <w:footnote w:id="113">
    <w:p w14:paraId="4CFB711E" w14:textId="5F41D018" w:rsidR="00811663" w:rsidRDefault="00811663" w:rsidP="00811663">
      <w:pPr>
        <w:pStyle w:val="FootnoteText"/>
      </w:pPr>
      <w:r>
        <w:rPr>
          <w:rStyle w:val="FootnoteReference"/>
        </w:rPr>
        <w:footnoteRef/>
      </w:r>
      <w:r>
        <w:t xml:space="preserve"> </w:t>
      </w:r>
      <w:r w:rsidR="002A30EB">
        <w:rPr>
          <w:i/>
          <w:iCs/>
        </w:rPr>
        <w:t>Id.</w:t>
      </w:r>
      <w:r w:rsidR="002A30EB">
        <w:t xml:space="preserve"> </w:t>
      </w:r>
      <w:r>
        <w:t>§ 12182(b)(1)(B) (goods and services to be provided “</w:t>
      </w:r>
      <w:r w:rsidRPr="006F58FE">
        <w:t>in the most integrated setting appropriate</w:t>
      </w:r>
      <w:r>
        <w:t xml:space="preserve">”). </w:t>
      </w:r>
    </w:p>
  </w:footnote>
  <w:footnote w:id="114">
    <w:p w14:paraId="652F6D01" w14:textId="43E5BE6C" w:rsidR="00811663" w:rsidRDefault="00811663" w:rsidP="00811663">
      <w:pPr>
        <w:pStyle w:val="FootnoteText"/>
      </w:pPr>
      <w:r>
        <w:rPr>
          <w:rStyle w:val="FootnoteReference"/>
        </w:rPr>
        <w:footnoteRef/>
      </w:r>
      <w:r>
        <w:t xml:space="preserve"> </w:t>
      </w:r>
      <w:r w:rsidR="00B01ECF">
        <w:rPr>
          <w:i/>
          <w:iCs/>
        </w:rPr>
        <w:t>Id.</w:t>
      </w:r>
      <w:r w:rsidR="00B01ECF">
        <w:t xml:space="preserve"> </w:t>
      </w:r>
      <w:r>
        <w:t xml:space="preserve">§ 12182(b)(2)(A)(iv) (requirement that barrier must be removed where readily achievable); </w:t>
      </w:r>
      <w:r w:rsidR="002A30EB">
        <w:rPr>
          <w:i/>
          <w:iCs/>
        </w:rPr>
        <w:t xml:space="preserve">see also </w:t>
      </w:r>
      <w:r w:rsidR="002A30EB" w:rsidRPr="00BE3E85">
        <w:rPr>
          <w:i/>
          <w:iCs/>
        </w:rPr>
        <w:t>id</w:t>
      </w:r>
      <w:r w:rsidR="002A30EB">
        <w:t>.</w:t>
      </w:r>
      <w:r w:rsidR="002A30EB">
        <w:rPr>
          <w:i/>
          <w:iCs/>
        </w:rPr>
        <w:t xml:space="preserve"> </w:t>
      </w:r>
      <w:r w:rsidR="002A30EB">
        <w:t xml:space="preserve">§ </w:t>
      </w:r>
      <w:r>
        <w:t>12183</w:t>
      </w:r>
      <w:r w:rsidR="005A0C6C">
        <w:t>(a)</w:t>
      </w:r>
      <w:r>
        <w:t xml:space="preserve"> (requirement that new construction and alterations be “readily accessible to and useable by” disabled people). </w:t>
      </w:r>
    </w:p>
  </w:footnote>
  <w:footnote w:id="115">
    <w:p w14:paraId="6775A8C9" w14:textId="1C108D4F" w:rsidR="00811663" w:rsidRPr="006F58FE" w:rsidRDefault="00811663" w:rsidP="00811663">
      <w:pPr>
        <w:pStyle w:val="FootnoteText"/>
      </w:pPr>
      <w:r>
        <w:rPr>
          <w:rStyle w:val="FootnoteReference"/>
        </w:rPr>
        <w:footnoteRef/>
      </w:r>
      <w:r>
        <w:t xml:space="preserve"> </w:t>
      </w:r>
      <w:r w:rsidRPr="00F76A9A">
        <w:t>H.R. Rep. No. 101</w:t>
      </w:r>
      <w:r>
        <w:t>-</w:t>
      </w:r>
      <w:r w:rsidRPr="00F76A9A">
        <w:t>485</w:t>
      </w:r>
      <w:r w:rsidR="00AC392F">
        <w:t>,</w:t>
      </w:r>
      <w:r w:rsidRPr="00F76A9A">
        <w:t xml:space="preserve"> pt</w:t>
      </w:r>
      <w:r w:rsidR="00AC392F">
        <w:t>.</w:t>
      </w:r>
      <w:r w:rsidRPr="00F76A9A">
        <w:t xml:space="preserve"> 2</w:t>
      </w:r>
      <w:r w:rsidR="00AC392F">
        <w:t>,</w:t>
      </w:r>
      <w:r w:rsidRPr="00F76A9A">
        <w:t xml:space="preserve"> at 84</w:t>
      </w:r>
      <w:r>
        <w:t xml:space="preserve">; </w:t>
      </w:r>
      <w:r>
        <w:rPr>
          <w:i/>
          <w:iCs/>
        </w:rPr>
        <w:t>see also id.</w:t>
      </w:r>
      <w:r>
        <w:t xml:space="preserve"> pt</w:t>
      </w:r>
      <w:r w:rsidR="00AC392F">
        <w:t>.</w:t>
      </w:r>
      <w:r>
        <w:t xml:space="preserve"> 3</w:t>
      </w:r>
      <w:r w:rsidR="00AC392F">
        <w:t>,</w:t>
      </w:r>
      <w:r>
        <w:t xml:space="preserve"> at 72 (describing generally-applicable section 12204, stating “[t]</w:t>
      </w:r>
      <w:proofErr w:type="spellStart"/>
      <w:r w:rsidRPr="00983049">
        <w:t>hese</w:t>
      </w:r>
      <w:proofErr w:type="spellEnd"/>
      <w:r w:rsidRPr="00983049">
        <w:t xml:space="preserve"> supplemental guidelines will establish requirements</w:t>
      </w:r>
      <w:r>
        <w:t xml:space="preserve"> . . .</w:t>
      </w:r>
      <w:r w:rsidRPr="00983049">
        <w:t xml:space="preserve"> to ensure that buildings, facilities, and vehicles are accessible to individuals</w:t>
      </w:r>
      <w:r>
        <w:t xml:space="preserve"> </w:t>
      </w:r>
      <w:r w:rsidRPr="00983049">
        <w:t>with disabilities in conformance with the ADA.</w:t>
      </w:r>
      <w:r>
        <w:t>”)</w:t>
      </w:r>
      <w:r w:rsidR="00BF1B61">
        <w:t>.</w:t>
      </w:r>
    </w:p>
  </w:footnote>
  <w:footnote w:id="116">
    <w:p w14:paraId="32FE7B69" w14:textId="73B4F976" w:rsidR="002807B6" w:rsidRDefault="002807B6">
      <w:pPr>
        <w:pStyle w:val="FootnoteText"/>
      </w:pPr>
      <w:r>
        <w:rPr>
          <w:rStyle w:val="FootnoteReference"/>
        </w:rPr>
        <w:footnoteRef/>
      </w:r>
      <w:r>
        <w:t xml:space="preserve"> 42 U.S.C. § 12201(a). </w:t>
      </w:r>
    </w:p>
  </w:footnote>
  <w:footnote w:id="117">
    <w:p w14:paraId="5EED93EA" w14:textId="46B431C9" w:rsidR="001212C3" w:rsidRDefault="001212C3">
      <w:pPr>
        <w:pStyle w:val="FootnoteText"/>
      </w:pPr>
      <w:r>
        <w:rPr>
          <w:rStyle w:val="FootnoteReference"/>
        </w:rPr>
        <w:footnoteRef/>
      </w:r>
      <w:r>
        <w:t xml:space="preserve"> </w:t>
      </w:r>
      <w:r w:rsidR="00C012B3" w:rsidRPr="009405EE">
        <w:rPr>
          <w:i/>
          <w:iCs/>
        </w:rPr>
        <w:t>Choate</w:t>
      </w:r>
      <w:r w:rsidR="00C012B3">
        <w:t xml:space="preserve">, 469 U.S. </w:t>
      </w:r>
      <w:r w:rsidR="00F01438">
        <w:t xml:space="preserve">at </w:t>
      </w:r>
      <w:r w:rsidR="00393091">
        <w:t>299</w:t>
      </w:r>
      <w:r w:rsidR="00BF13FA">
        <w:t xml:space="preserve"> (emphasis added)</w:t>
      </w:r>
      <w:r w:rsidR="00393091">
        <w:t>.</w:t>
      </w:r>
    </w:p>
  </w:footnote>
  <w:footnote w:id="118">
    <w:p w14:paraId="7EC85749" w14:textId="79F8FDD4" w:rsidR="001212C3" w:rsidRDefault="001212C3" w:rsidP="001212C3">
      <w:pPr>
        <w:pStyle w:val="FootnoteText"/>
      </w:pPr>
      <w:r>
        <w:rPr>
          <w:rStyle w:val="FootnoteReference"/>
        </w:rPr>
        <w:footnoteRef/>
      </w:r>
      <w:r>
        <w:t xml:space="preserve"> </w:t>
      </w:r>
      <w:r w:rsidR="00393091">
        <w:rPr>
          <w:i/>
          <w:iCs/>
        </w:rPr>
        <w:t>Id.</w:t>
      </w:r>
      <w:r w:rsidR="00393091">
        <w:t xml:space="preserve"> at </w:t>
      </w:r>
      <w:r w:rsidRPr="006B0382">
        <w:t>30</w:t>
      </w:r>
      <w:r w:rsidR="00393091">
        <w:t>1</w:t>
      </w:r>
      <w:r w:rsidR="008833E9">
        <w:t xml:space="preserve"> (emphasis added). </w:t>
      </w:r>
    </w:p>
  </w:footnote>
  <w:footnote w:id="119">
    <w:p w14:paraId="07D756D8" w14:textId="5DC2DB84" w:rsidR="006127F0" w:rsidRPr="006127F0" w:rsidRDefault="006127F0">
      <w:pPr>
        <w:pStyle w:val="FootnoteText"/>
      </w:pPr>
      <w:r>
        <w:rPr>
          <w:rStyle w:val="FootnoteReference"/>
        </w:rPr>
        <w:footnoteRef/>
      </w:r>
      <w:r>
        <w:t xml:space="preserve"> </w:t>
      </w:r>
      <w:r>
        <w:rPr>
          <w:i/>
          <w:iCs/>
        </w:rPr>
        <w:t>Ability Center</w:t>
      </w:r>
      <w:r>
        <w:t xml:space="preserve">, </w:t>
      </w:r>
      <w:r w:rsidR="00F441E9">
        <w:t xml:space="preserve">385 F.3d at 907. </w:t>
      </w:r>
    </w:p>
  </w:footnote>
  <w:footnote w:id="120">
    <w:p w14:paraId="10310C18" w14:textId="49A4C2B6" w:rsidR="00A9275B" w:rsidRDefault="00A9275B">
      <w:pPr>
        <w:pStyle w:val="FootnoteText"/>
      </w:pPr>
      <w:r>
        <w:rPr>
          <w:rStyle w:val="FootnoteReference"/>
        </w:rPr>
        <w:footnoteRef/>
      </w:r>
      <w:r>
        <w:t xml:space="preserve"> </w:t>
      </w:r>
      <w:r w:rsidRPr="00FD725B">
        <w:rPr>
          <w:i/>
          <w:iCs/>
        </w:rPr>
        <w:t>Reinhart</w:t>
      </w:r>
      <w:r w:rsidR="00FD725B">
        <w:t>, 2025 WL 2426820</w:t>
      </w:r>
      <w:r w:rsidR="00C159F5">
        <w:t>,</w:t>
      </w:r>
      <w:r>
        <w:t xml:space="preserve"> at *5. </w:t>
      </w:r>
    </w:p>
  </w:footnote>
  <w:footnote w:id="121">
    <w:p w14:paraId="6F8861EE" w14:textId="12DB72A6" w:rsidR="00AE3B44" w:rsidRPr="00AE3B44" w:rsidRDefault="00AE3B44">
      <w:pPr>
        <w:pStyle w:val="FootnoteText"/>
      </w:pPr>
      <w:r>
        <w:rPr>
          <w:rStyle w:val="FootnoteReference"/>
        </w:rPr>
        <w:footnoteRef/>
      </w:r>
      <w:r>
        <w:t xml:space="preserve"> </w:t>
      </w:r>
      <w:r>
        <w:rPr>
          <w:i/>
          <w:iCs/>
        </w:rPr>
        <w:t>Id.</w:t>
      </w:r>
      <w:r>
        <w:t xml:space="preserve"> at *6. </w:t>
      </w:r>
    </w:p>
  </w:footnote>
  <w:footnote w:id="122">
    <w:p w14:paraId="08EBB5FF" w14:textId="7E718A94" w:rsidR="00D476EE" w:rsidRDefault="00D476EE">
      <w:pPr>
        <w:pStyle w:val="FootnoteText"/>
      </w:pPr>
      <w:r>
        <w:rPr>
          <w:rStyle w:val="FootnoteReference"/>
        </w:rPr>
        <w:footnoteRef/>
      </w:r>
      <w:r>
        <w:t xml:space="preserve"> </w:t>
      </w:r>
      <w:r w:rsidR="00AB77A8">
        <w:rPr>
          <w:i/>
          <w:iCs/>
        </w:rPr>
        <w:t>Id</w:t>
      </w:r>
      <w:r w:rsidR="00AB77A8">
        <w:t>.</w:t>
      </w:r>
      <w:r>
        <w:t xml:space="preserve"> at *8</w:t>
      </w:r>
      <w:r w:rsidR="00D306AE">
        <w:t xml:space="preserve">, *10. </w:t>
      </w:r>
    </w:p>
  </w:footnote>
  <w:footnote w:id="123">
    <w:p w14:paraId="645C35DD" w14:textId="495DF4B9" w:rsidR="000E2CAE" w:rsidRDefault="000E2CAE">
      <w:pPr>
        <w:pStyle w:val="FootnoteText"/>
      </w:pPr>
      <w:r>
        <w:rPr>
          <w:rStyle w:val="FootnoteReference"/>
        </w:rPr>
        <w:footnoteRef/>
      </w:r>
      <w:r>
        <w:t xml:space="preserve"> </w:t>
      </w:r>
      <w:r w:rsidR="007B241B" w:rsidRPr="00447C87">
        <w:rPr>
          <w:i/>
          <w:iCs/>
        </w:rPr>
        <w:t xml:space="preserve">Guardians </w:t>
      </w:r>
      <w:proofErr w:type="spellStart"/>
      <w:r w:rsidR="007B241B" w:rsidRPr="00447C87">
        <w:rPr>
          <w:i/>
          <w:iCs/>
        </w:rPr>
        <w:t>Ass'n</w:t>
      </w:r>
      <w:proofErr w:type="spellEnd"/>
      <w:r w:rsidR="007B241B" w:rsidRPr="00447C87">
        <w:rPr>
          <w:i/>
          <w:iCs/>
        </w:rPr>
        <w:t xml:space="preserve"> v. Civ. Serv. Comm'n of City of New York</w:t>
      </w:r>
      <w:r w:rsidR="007B241B">
        <w:t>, 463 U.S. 582 (1983).</w:t>
      </w:r>
    </w:p>
  </w:footnote>
  <w:footnote w:id="124">
    <w:p w14:paraId="089C48D4" w14:textId="34B61DCD" w:rsidR="003E2DF2" w:rsidRDefault="003E2DF2">
      <w:pPr>
        <w:pStyle w:val="FootnoteText"/>
      </w:pPr>
      <w:r>
        <w:rPr>
          <w:rStyle w:val="FootnoteReference"/>
        </w:rPr>
        <w:footnoteRef/>
      </w:r>
      <w:r>
        <w:t xml:space="preserve"> </w:t>
      </w:r>
      <w:r w:rsidR="00E30592" w:rsidRPr="00A33C4E">
        <w:rPr>
          <w:i/>
          <w:iCs/>
        </w:rPr>
        <w:t>Choate</w:t>
      </w:r>
      <w:r w:rsidR="009405EE">
        <w:t xml:space="preserve">, 469 U.S. </w:t>
      </w:r>
      <w:r w:rsidR="00E30592">
        <w:t xml:space="preserve">at </w:t>
      </w:r>
      <w:r w:rsidR="005337FE">
        <w:t>292</w:t>
      </w:r>
      <w:r w:rsidR="00E30592">
        <w:t xml:space="preserve">. </w:t>
      </w:r>
    </w:p>
  </w:footnote>
  <w:footnote w:id="125">
    <w:p w14:paraId="379F3999" w14:textId="235C6F60" w:rsidR="00D646DC" w:rsidRPr="009405EE" w:rsidRDefault="00D646DC">
      <w:pPr>
        <w:pStyle w:val="FootnoteText"/>
      </w:pPr>
      <w:r>
        <w:rPr>
          <w:rStyle w:val="FootnoteReference"/>
        </w:rPr>
        <w:footnoteRef/>
      </w:r>
      <w:r>
        <w:t xml:space="preserve"> </w:t>
      </w:r>
      <w:r w:rsidR="009405EE">
        <w:rPr>
          <w:i/>
          <w:iCs/>
        </w:rPr>
        <w:t>Id.</w:t>
      </w:r>
      <w:r w:rsidR="009405EE">
        <w:t xml:space="preserve"> at </w:t>
      </w:r>
      <w:r w:rsidR="009F6175">
        <w:t>294</w:t>
      </w:r>
      <w:r w:rsidR="009405EE">
        <w:t xml:space="preserve">. </w:t>
      </w:r>
    </w:p>
  </w:footnote>
  <w:footnote w:id="126">
    <w:p w14:paraId="100B2636" w14:textId="645C5482" w:rsidR="00CA7B34" w:rsidRPr="00CA7B34" w:rsidRDefault="00CA7B34">
      <w:pPr>
        <w:pStyle w:val="FootnoteText"/>
      </w:pPr>
      <w:r>
        <w:rPr>
          <w:rStyle w:val="FootnoteReference"/>
        </w:rPr>
        <w:footnoteRef/>
      </w:r>
      <w:r>
        <w:t xml:space="preserve"> </w:t>
      </w:r>
      <w:r>
        <w:rPr>
          <w:i/>
          <w:iCs/>
        </w:rPr>
        <w:t>Id.</w:t>
      </w:r>
      <w:r>
        <w:t xml:space="preserve"> at 295. </w:t>
      </w:r>
    </w:p>
  </w:footnote>
  <w:footnote w:id="127">
    <w:p w14:paraId="34F7B7A6" w14:textId="46CE883C" w:rsidR="00835094" w:rsidRPr="00835094" w:rsidRDefault="00835094">
      <w:pPr>
        <w:pStyle w:val="FootnoteText"/>
      </w:pPr>
      <w:r>
        <w:rPr>
          <w:rStyle w:val="FootnoteReference"/>
        </w:rPr>
        <w:footnoteRef/>
      </w:r>
      <w:r>
        <w:t xml:space="preserve"> </w:t>
      </w:r>
      <w:r>
        <w:rPr>
          <w:i/>
          <w:iCs/>
        </w:rPr>
        <w:t>Id.</w:t>
      </w:r>
      <w:r>
        <w:t xml:space="preserve"> </w:t>
      </w:r>
      <w:r w:rsidR="00A8342A">
        <w:t xml:space="preserve">at 296-97 </w:t>
      </w:r>
      <w:r>
        <w:t xml:space="preserve">(citing </w:t>
      </w:r>
      <w:r w:rsidRPr="00835094">
        <w:t>S.</w:t>
      </w:r>
      <w:r w:rsidR="00B50EAB">
        <w:t xml:space="preserve"> </w:t>
      </w:r>
      <w:r w:rsidRPr="00835094">
        <w:t xml:space="preserve">Rep. No. 93–318, </w:t>
      </w:r>
      <w:r w:rsidR="002C19DA">
        <w:t>at</w:t>
      </w:r>
      <w:r w:rsidRPr="00835094">
        <w:t xml:space="preserve"> 4 (1973), </w:t>
      </w:r>
      <w:r w:rsidR="002C19DA">
        <w:rPr>
          <w:i/>
          <w:iCs/>
        </w:rPr>
        <w:t>as reprinted in</w:t>
      </w:r>
      <w:r w:rsidR="002C19DA">
        <w:t xml:space="preserve"> 1973 U.S.C.C.A.N.</w:t>
      </w:r>
      <w:r w:rsidR="00772D20">
        <w:t xml:space="preserve"> 2076, 2080</w:t>
      </w:r>
      <w:r w:rsidR="00A8342A">
        <w:t xml:space="preserve">). </w:t>
      </w:r>
    </w:p>
  </w:footnote>
  <w:footnote w:id="128">
    <w:p w14:paraId="5B2662D2" w14:textId="79B6777D" w:rsidR="008A304B" w:rsidRPr="00C14727" w:rsidRDefault="008A304B">
      <w:pPr>
        <w:pStyle w:val="FootnoteText"/>
      </w:pPr>
      <w:r>
        <w:rPr>
          <w:rStyle w:val="FootnoteReference"/>
        </w:rPr>
        <w:footnoteRef/>
      </w:r>
      <w:r>
        <w:t xml:space="preserve"> </w:t>
      </w:r>
      <w:r w:rsidR="00C14727">
        <w:rPr>
          <w:i/>
          <w:iCs/>
        </w:rPr>
        <w:t>Id.</w:t>
      </w:r>
      <w:r w:rsidR="00C14727">
        <w:t xml:space="preserve"> at </w:t>
      </w:r>
      <w:r w:rsidR="00CD1E1B">
        <w:t>294 n.</w:t>
      </w:r>
      <w:r w:rsidR="003B062B">
        <w:t xml:space="preserve">11. </w:t>
      </w:r>
    </w:p>
  </w:footnote>
  <w:footnote w:id="129">
    <w:p w14:paraId="70E3E88B" w14:textId="35A8E691" w:rsidR="00FB6388" w:rsidRPr="009B716B" w:rsidRDefault="00FB6388" w:rsidP="00FB6388">
      <w:pPr>
        <w:pStyle w:val="FootnoteText"/>
      </w:pPr>
      <w:r>
        <w:rPr>
          <w:rStyle w:val="FootnoteReference"/>
        </w:rPr>
        <w:footnoteRef/>
      </w:r>
      <w:r>
        <w:t xml:space="preserve"> </w:t>
      </w:r>
      <w:r>
        <w:rPr>
          <w:i/>
          <w:iCs/>
        </w:rPr>
        <w:t>Reinhart</w:t>
      </w:r>
      <w:r w:rsidR="00A33C4E">
        <w:t>, 2025 WL 2426820</w:t>
      </w:r>
      <w:r w:rsidR="00B667C7">
        <w:t>,</w:t>
      </w:r>
      <w:r>
        <w:rPr>
          <w:i/>
          <w:iCs/>
        </w:rPr>
        <w:t xml:space="preserve"> </w:t>
      </w:r>
      <w:r>
        <w:t>at *8</w:t>
      </w:r>
      <w:r w:rsidR="00C53103">
        <w:t xml:space="preserve"> (citing </w:t>
      </w:r>
      <w:r w:rsidR="00C53103" w:rsidRPr="009610A5">
        <w:rPr>
          <w:i/>
          <w:iCs/>
        </w:rPr>
        <w:t xml:space="preserve">Ability </w:t>
      </w:r>
      <w:r w:rsidR="00C53103" w:rsidRPr="00611FD6">
        <w:rPr>
          <w:i/>
          <w:iCs/>
        </w:rPr>
        <w:t>C</w:t>
      </w:r>
      <w:r w:rsidR="00B667C7">
        <w:rPr>
          <w:i/>
          <w:iCs/>
        </w:rPr>
        <w:t>tr.</w:t>
      </w:r>
      <w:r w:rsidR="00E95E01" w:rsidRPr="00611FD6">
        <w:t xml:space="preserve">, </w:t>
      </w:r>
      <w:r w:rsidR="00611FD6" w:rsidRPr="00611FD6">
        <w:t>385</w:t>
      </w:r>
      <w:r w:rsidR="00611FD6">
        <w:t xml:space="preserve"> F.3d</w:t>
      </w:r>
      <w:r w:rsidR="00C53103">
        <w:t xml:space="preserve"> at 908)</w:t>
      </w:r>
      <w:r>
        <w:t xml:space="preserve">. </w:t>
      </w:r>
    </w:p>
  </w:footnote>
  <w:footnote w:id="130">
    <w:p w14:paraId="2CE960EB" w14:textId="55824760" w:rsidR="006718AB" w:rsidRDefault="006718AB">
      <w:pPr>
        <w:pStyle w:val="FootnoteText"/>
      </w:pPr>
      <w:r>
        <w:rPr>
          <w:rStyle w:val="FootnoteReference"/>
        </w:rPr>
        <w:footnoteRef/>
      </w:r>
      <w:r>
        <w:t xml:space="preserve"> </w:t>
      </w:r>
      <w:r w:rsidR="00974600">
        <w:t xml:space="preserve">“L.C.” stands for Lois Curtis who, along with co-plaintiff </w:t>
      </w:r>
      <w:r w:rsidR="002A2FD0">
        <w:t xml:space="preserve">Elaine Wilson, </w:t>
      </w:r>
      <w:r w:rsidR="00322243">
        <w:t xml:space="preserve">courageously </w:t>
      </w:r>
      <w:r w:rsidR="00DD2C8D">
        <w:t xml:space="preserve">and successfully </w:t>
      </w:r>
      <w:r w:rsidR="002A2FD0">
        <w:t>took their desire to live in the community all the way to the Supreme Court. It’s unfortunate that we call the case “</w:t>
      </w:r>
      <w:r w:rsidR="002A2FD0" w:rsidRPr="00DD2C8D">
        <w:rPr>
          <w:i/>
          <w:iCs/>
        </w:rPr>
        <w:t>Olmstead</w:t>
      </w:r>
      <w:r w:rsidR="002A2FD0">
        <w:t xml:space="preserve">” </w:t>
      </w:r>
      <w:r w:rsidR="00DB420D">
        <w:t xml:space="preserve">as Tommy Olmstead was the Georgia bureaucrat who wanted to keep Ms. Curtis and Ms. Wilson in their institutions. </w:t>
      </w:r>
      <w:r w:rsidR="00322243">
        <w:t>I’m hoping at some point we all decide to call the case “</w:t>
      </w:r>
      <w:r w:rsidR="00322243" w:rsidRPr="00DD2C8D">
        <w:rPr>
          <w:i/>
          <w:iCs/>
        </w:rPr>
        <w:t>Curtis/Wilson</w:t>
      </w:r>
      <w:r w:rsidR="00322243">
        <w:t xml:space="preserve">.”  </w:t>
      </w:r>
    </w:p>
  </w:footnote>
  <w:footnote w:id="131">
    <w:p w14:paraId="75F87F7C" w14:textId="717C5EE5" w:rsidR="00CB7390" w:rsidRDefault="00CB7390">
      <w:pPr>
        <w:pStyle w:val="FootnoteText"/>
      </w:pPr>
      <w:r>
        <w:rPr>
          <w:rStyle w:val="FootnoteReference"/>
        </w:rPr>
        <w:footnoteRef/>
      </w:r>
      <w:r>
        <w:t xml:space="preserve"> </w:t>
      </w:r>
      <w:r w:rsidRPr="00767AC0">
        <w:rPr>
          <w:i/>
          <w:iCs/>
        </w:rPr>
        <w:t>Olmstead</w:t>
      </w:r>
      <w:r w:rsidR="000E2875">
        <w:t xml:space="preserve">, </w:t>
      </w:r>
      <w:r w:rsidR="000E2875" w:rsidRPr="00935E6F">
        <w:t>527 U.S.</w:t>
      </w:r>
      <w:r>
        <w:t xml:space="preserve"> </w:t>
      </w:r>
      <w:r w:rsidR="00784F9C">
        <w:t xml:space="preserve">at 597. </w:t>
      </w:r>
    </w:p>
  </w:footnote>
  <w:footnote w:id="132">
    <w:p w14:paraId="6461F22F" w14:textId="018F6117" w:rsidR="006F6227" w:rsidRPr="006F6227" w:rsidRDefault="006F6227">
      <w:pPr>
        <w:pStyle w:val="FootnoteText"/>
      </w:pPr>
      <w:r>
        <w:rPr>
          <w:rStyle w:val="FootnoteReference"/>
        </w:rPr>
        <w:footnoteRef/>
      </w:r>
      <w:r>
        <w:t xml:space="preserve"> </w:t>
      </w:r>
      <w:r>
        <w:rPr>
          <w:i/>
          <w:iCs/>
        </w:rPr>
        <w:t>Id.</w:t>
      </w:r>
      <w:r>
        <w:t xml:space="preserve"> at </w:t>
      </w:r>
      <w:r w:rsidR="00D14BB9">
        <w:t xml:space="preserve">592, </w:t>
      </w:r>
      <w:r>
        <w:t>597</w:t>
      </w:r>
      <w:r w:rsidR="00066F2F">
        <w:t xml:space="preserve"> (emphasis added)</w:t>
      </w:r>
      <w:r>
        <w:t xml:space="preserve">. </w:t>
      </w:r>
    </w:p>
  </w:footnote>
  <w:footnote w:id="133">
    <w:p w14:paraId="406A896E" w14:textId="496A17D0" w:rsidR="00CE161F" w:rsidRPr="00CE161F" w:rsidRDefault="00CE161F">
      <w:pPr>
        <w:pStyle w:val="FootnoteText"/>
      </w:pPr>
      <w:r>
        <w:rPr>
          <w:rStyle w:val="FootnoteReference"/>
        </w:rPr>
        <w:footnoteRef/>
      </w:r>
      <w:r>
        <w:t xml:space="preserve"> </w:t>
      </w:r>
      <w:r w:rsidRPr="00C0062A">
        <w:rPr>
          <w:i/>
          <w:iCs/>
        </w:rPr>
        <w:t>Reinhart</w:t>
      </w:r>
      <w:r w:rsidR="00C0062A">
        <w:t>, 2025 WL 2426820</w:t>
      </w:r>
      <w:r w:rsidR="00C22FEE">
        <w:t>,</w:t>
      </w:r>
      <w:r>
        <w:t xml:space="preserve"> at *8. </w:t>
      </w:r>
    </w:p>
  </w:footnote>
  <w:footnote w:id="134">
    <w:p w14:paraId="5F4F215F" w14:textId="55BBFB75" w:rsidR="00C7267D" w:rsidRPr="00C0062A" w:rsidRDefault="00C7267D">
      <w:pPr>
        <w:pStyle w:val="FootnoteText"/>
      </w:pPr>
      <w:r>
        <w:rPr>
          <w:rStyle w:val="FootnoteReference"/>
        </w:rPr>
        <w:footnoteRef/>
      </w:r>
      <w:r>
        <w:t xml:space="preserve"> </w:t>
      </w:r>
      <w:r w:rsidR="00C0062A">
        <w:rPr>
          <w:i/>
          <w:iCs/>
        </w:rPr>
        <w:t>Id.</w:t>
      </w:r>
      <w:r w:rsidR="00C0062A">
        <w:t xml:space="preserve"> </w:t>
      </w:r>
    </w:p>
  </w:footnote>
  <w:footnote w:id="135">
    <w:p w14:paraId="5BAD59DA" w14:textId="47A19F7D" w:rsidR="00820D43" w:rsidRDefault="00820D43">
      <w:pPr>
        <w:pStyle w:val="FootnoteText"/>
      </w:pPr>
      <w:r>
        <w:rPr>
          <w:rStyle w:val="FootnoteReference"/>
        </w:rPr>
        <w:footnoteRef/>
      </w:r>
      <w:r>
        <w:t xml:space="preserve"> </w:t>
      </w:r>
      <w:r w:rsidR="00C0062A" w:rsidRPr="00C0062A">
        <w:rPr>
          <w:i/>
          <w:iCs/>
        </w:rPr>
        <w:t>Id</w:t>
      </w:r>
      <w:r w:rsidR="00C0062A">
        <w:t>.</w:t>
      </w:r>
      <w:r w:rsidR="00C0062A">
        <w:rPr>
          <w:i/>
          <w:iCs/>
        </w:rPr>
        <w:t xml:space="preserve"> </w:t>
      </w:r>
      <w:r w:rsidR="00AA75EA">
        <w:t xml:space="preserve">at </w:t>
      </w:r>
      <w:r w:rsidR="00EA5E9B">
        <w:t>*6</w:t>
      </w:r>
      <w:r w:rsidR="00564AA9">
        <w:t xml:space="preserve"> (quoting </w:t>
      </w:r>
      <w:r w:rsidR="00CD70F0" w:rsidRPr="00C0062A">
        <w:rPr>
          <w:i/>
          <w:iCs/>
        </w:rPr>
        <w:t>Olmstead</w:t>
      </w:r>
      <w:r w:rsidR="00CD70F0" w:rsidRPr="00CD70F0">
        <w:t xml:space="preserve">, 527 U.S. </w:t>
      </w:r>
      <w:r w:rsidR="00CD70F0">
        <w:t xml:space="preserve">at </w:t>
      </w:r>
      <w:r w:rsidR="00CD70F0" w:rsidRPr="00CD70F0">
        <w:t>616 (Thomas, J., dissenting)</w:t>
      </w:r>
      <w:r w:rsidR="00CD70F0">
        <w:t xml:space="preserve">). </w:t>
      </w:r>
    </w:p>
  </w:footnote>
  <w:footnote w:id="136">
    <w:p w14:paraId="284EAAE6" w14:textId="227DD161" w:rsidR="00F469BE" w:rsidRPr="001305F6" w:rsidRDefault="00F469BE" w:rsidP="00F469BE">
      <w:pPr>
        <w:pStyle w:val="FootnoteText"/>
      </w:pPr>
      <w:r>
        <w:rPr>
          <w:rStyle w:val="FootnoteReference"/>
        </w:rPr>
        <w:footnoteRef/>
      </w:r>
      <w:r>
        <w:t xml:space="preserve"> </w:t>
      </w:r>
      <w:r w:rsidR="001305F6">
        <w:rPr>
          <w:i/>
          <w:iCs/>
        </w:rPr>
        <w:t>Olmstead</w:t>
      </w:r>
      <w:r w:rsidR="009725E6">
        <w:t>,</w:t>
      </w:r>
      <w:r w:rsidR="00C0062A">
        <w:t xml:space="preserve"> 527 U.S.</w:t>
      </w:r>
      <w:r w:rsidR="001305F6">
        <w:t xml:space="preserve"> at 598. </w:t>
      </w:r>
    </w:p>
  </w:footnote>
  <w:footnote w:id="137">
    <w:p w14:paraId="0EBA3CBA" w14:textId="3E2B7BF3" w:rsidR="00A153E1" w:rsidRDefault="00A153E1">
      <w:pPr>
        <w:pStyle w:val="FootnoteText"/>
      </w:pPr>
      <w:r>
        <w:rPr>
          <w:rStyle w:val="FootnoteReference"/>
        </w:rPr>
        <w:footnoteRef/>
      </w:r>
      <w:r>
        <w:t xml:space="preserve"> </w:t>
      </w:r>
      <w:r w:rsidR="0057477B" w:rsidRPr="00932B05">
        <w:rPr>
          <w:i/>
          <w:iCs/>
        </w:rPr>
        <w:t>Tennessee v. Lane</w:t>
      </w:r>
      <w:r w:rsidR="0057477B">
        <w:t>, 541 U.S. 509, 53</w:t>
      </w:r>
      <w:r w:rsidR="00142389">
        <w:t>0-3</w:t>
      </w:r>
      <w:r w:rsidR="0057477B">
        <w:t>1 (2004).</w:t>
      </w:r>
    </w:p>
  </w:footnote>
  <w:footnote w:id="138">
    <w:p w14:paraId="40331D03" w14:textId="77777777" w:rsidR="00A967F5" w:rsidRDefault="00A967F5" w:rsidP="00A967F5">
      <w:pPr>
        <w:pStyle w:val="FootnoteText"/>
      </w:pPr>
      <w:r>
        <w:rPr>
          <w:rStyle w:val="FootnoteReference"/>
        </w:rPr>
        <w:footnoteRef/>
      </w:r>
      <w:r>
        <w:t xml:space="preserve"> </w:t>
      </w:r>
      <w:r w:rsidRPr="00DC4C03">
        <w:rPr>
          <w:i/>
          <w:iCs/>
        </w:rPr>
        <w:t xml:space="preserve">Bd. of </w:t>
      </w:r>
      <w:proofErr w:type="spellStart"/>
      <w:r w:rsidRPr="00DC4C03">
        <w:rPr>
          <w:i/>
          <w:iCs/>
        </w:rPr>
        <w:t>Trs</w:t>
      </w:r>
      <w:proofErr w:type="spellEnd"/>
      <w:r w:rsidRPr="00DC4C03">
        <w:rPr>
          <w:i/>
          <w:iCs/>
        </w:rPr>
        <w:t>. of Univ. of Alabama v. Garrett</w:t>
      </w:r>
      <w:r>
        <w:t xml:space="preserve">, 531 U.S. 356, 374 (2001). </w:t>
      </w:r>
    </w:p>
  </w:footnote>
  <w:footnote w:id="139">
    <w:p w14:paraId="19425EEB" w14:textId="2F975D5F" w:rsidR="001B3F71" w:rsidRPr="001B3F71" w:rsidRDefault="001B3F71">
      <w:pPr>
        <w:pStyle w:val="FootnoteText"/>
      </w:pPr>
      <w:r>
        <w:rPr>
          <w:rStyle w:val="FootnoteReference"/>
        </w:rPr>
        <w:footnoteRef/>
      </w:r>
      <w:r>
        <w:t xml:space="preserve"> </w:t>
      </w:r>
      <w:r>
        <w:rPr>
          <w:i/>
          <w:iCs/>
        </w:rPr>
        <w:t>Id.</w:t>
      </w:r>
      <w:r>
        <w:t xml:space="preserve"> </w:t>
      </w:r>
    </w:p>
  </w:footnote>
  <w:footnote w:id="140">
    <w:p w14:paraId="2900F5A6" w14:textId="6A2A05A7" w:rsidR="00A153E1" w:rsidRDefault="00A153E1" w:rsidP="00A153E1">
      <w:pPr>
        <w:pStyle w:val="FootnoteText"/>
      </w:pPr>
      <w:r>
        <w:rPr>
          <w:rStyle w:val="FootnoteReference"/>
        </w:rPr>
        <w:footnoteRef/>
      </w:r>
      <w:r>
        <w:t xml:space="preserve"> </w:t>
      </w:r>
      <w:r w:rsidRPr="00932B05">
        <w:rPr>
          <w:i/>
          <w:iCs/>
        </w:rPr>
        <w:t>Lane</w:t>
      </w:r>
      <w:r>
        <w:t xml:space="preserve">, 541 U.S. </w:t>
      </w:r>
      <w:r w:rsidR="0057477B">
        <w:t xml:space="preserve">at </w:t>
      </w:r>
      <w:r>
        <w:t>531</w:t>
      </w:r>
      <w:r w:rsidR="0057477B">
        <w:t xml:space="preserve">. </w:t>
      </w:r>
    </w:p>
  </w:footnote>
  <w:footnote w:id="141">
    <w:p w14:paraId="3B61887D" w14:textId="2F4A42E9" w:rsidR="00750286" w:rsidRPr="008A0325" w:rsidRDefault="00750286">
      <w:pPr>
        <w:pStyle w:val="FootnoteText"/>
      </w:pPr>
      <w:r>
        <w:rPr>
          <w:rStyle w:val="FootnoteReference"/>
        </w:rPr>
        <w:footnoteRef/>
      </w:r>
      <w:r>
        <w:t xml:space="preserve"> </w:t>
      </w:r>
      <w:r w:rsidR="008A0325">
        <w:rPr>
          <w:i/>
          <w:iCs/>
        </w:rPr>
        <w:t>Id.</w:t>
      </w:r>
      <w:r w:rsidR="008A0325">
        <w:t xml:space="preserve"> (citing 42 U.S.C. § 12131(2)). </w:t>
      </w:r>
    </w:p>
  </w:footnote>
  <w:footnote w:id="142">
    <w:p w14:paraId="3297D942" w14:textId="385EC1EF" w:rsidR="00F16E10" w:rsidRPr="00F16E10" w:rsidRDefault="00F16E10">
      <w:pPr>
        <w:pStyle w:val="FootnoteText"/>
      </w:pPr>
      <w:r>
        <w:rPr>
          <w:rStyle w:val="FootnoteReference"/>
        </w:rPr>
        <w:footnoteRef/>
      </w:r>
      <w:r>
        <w:t xml:space="preserve"> </w:t>
      </w:r>
      <w:r>
        <w:rPr>
          <w:i/>
          <w:iCs/>
        </w:rPr>
        <w:t>Id.</w:t>
      </w:r>
      <w:r>
        <w:t xml:space="preserve"> at 531-32. </w:t>
      </w:r>
    </w:p>
  </w:footnote>
  <w:footnote w:id="143">
    <w:p w14:paraId="34B24521" w14:textId="1D0BF289" w:rsidR="00FC0FB4" w:rsidRDefault="00FC0FB4">
      <w:pPr>
        <w:pStyle w:val="FootnoteText"/>
      </w:pPr>
      <w:r>
        <w:rPr>
          <w:rStyle w:val="FootnoteReference"/>
        </w:rPr>
        <w:footnoteRef/>
      </w:r>
      <w:r>
        <w:t xml:space="preserve"> </w:t>
      </w:r>
      <w:r w:rsidRPr="00FC0FB4">
        <w:rPr>
          <w:i/>
          <w:iCs/>
        </w:rPr>
        <w:t>Frame</w:t>
      </w:r>
      <w:r w:rsidRPr="00FC0FB4">
        <w:t xml:space="preserve">, 657 F.3d </w:t>
      </w:r>
      <w:r>
        <w:t>at</w:t>
      </w:r>
      <w:r w:rsidRPr="00FC0FB4">
        <w:t xml:space="preserve"> 232</w:t>
      </w:r>
      <w:r>
        <w:t xml:space="preserve">. </w:t>
      </w:r>
    </w:p>
  </w:footnote>
  <w:footnote w:id="144">
    <w:p w14:paraId="367B5128" w14:textId="4012C249" w:rsidR="00333CC0" w:rsidRPr="00333CC0" w:rsidRDefault="00333CC0">
      <w:pPr>
        <w:pStyle w:val="FootnoteText"/>
      </w:pPr>
      <w:r>
        <w:rPr>
          <w:rStyle w:val="FootnoteReference"/>
        </w:rPr>
        <w:footnoteRef/>
      </w:r>
      <w:r>
        <w:t xml:space="preserve"> </w:t>
      </w:r>
      <w:r w:rsidR="00BD040F" w:rsidRPr="00BD040F">
        <w:rPr>
          <w:i/>
          <w:iCs/>
        </w:rPr>
        <w:t>Lane</w:t>
      </w:r>
      <w:r w:rsidR="00BD040F">
        <w:t xml:space="preserve">, </w:t>
      </w:r>
      <w:r w:rsidR="00E2369B">
        <w:t>541 U.S. at 533</w:t>
      </w:r>
      <w:r>
        <w:t xml:space="preserve"> (citing </w:t>
      </w:r>
      <w:r w:rsidR="003E77D9">
        <w:rPr>
          <w:i/>
          <w:iCs/>
        </w:rPr>
        <w:t xml:space="preserve">City of </w:t>
      </w:r>
      <w:r w:rsidRPr="008E00BA">
        <w:rPr>
          <w:i/>
          <w:iCs/>
        </w:rPr>
        <w:t>Boerne</w:t>
      </w:r>
      <w:r w:rsidR="003E77D9">
        <w:rPr>
          <w:i/>
          <w:iCs/>
        </w:rPr>
        <w:t xml:space="preserve"> v. Flores</w:t>
      </w:r>
      <w:r w:rsidRPr="006F5ED3">
        <w:t>, 521 U.S.</w:t>
      </w:r>
      <w:r w:rsidR="008E00BA">
        <w:t xml:space="preserve"> </w:t>
      </w:r>
      <w:r w:rsidR="003E77D9">
        <w:t>507,</w:t>
      </w:r>
      <w:r w:rsidRPr="006F5ED3">
        <w:t xml:space="preserve"> 532</w:t>
      </w:r>
      <w:r w:rsidR="003E77D9">
        <w:t xml:space="preserve"> (1997)</w:t>
      </w:r>
      <w:r w:rsidR="008E00BA">
        <w:t>;</w:t>
      </w:r>
      <w:r w:rsidRPr="006F5ED3">
        <w:t xml:space="preserve"> </w:t>
      </w:r>
      <w:r w:rsidRPr="008E00BA">
        <w:rPr>
          <w:i/>
          <w:iCs/>
        </w:rPr>
        <w:t>Kimel</w:t>
      </w:r>
      <w:r w:rsidR="006C48FD">
        <w:rPr>
          <w:i/>
          <w:iCs/>
        </w:rPr>
        <w:t xml:space="preserve"> v. Florida Bd. of Regents</w:t>
      </w:r>
      <w:r w:rsidRPr="006F5ED3">
        <w:t xml:space="preserve">, 528 U.S. </w:t>
      </w:r>
      <w:r w:rsidR="006C48FD">
        <w:t>62,</w:t>
      </w:r>
      <w:r w:rsidRPr="006F5ED3">
        <w:t xml:space="preserve"> 86</w:t>
      </w:r>
      <w:r w:rsidR="006C48FD">
        <w:t xml:space="preserve"> (2000)</w:t>
      </w:r>
      <w:r>
        <w:t xml:space="preserve">). </w:t>
      </w:r>
    </w:p>
  </w:footnote>
  <w:footnote w:id="145">
    <w:p w14:paraId="34BFBC2D" w14:textId="7620CC51" w:rsidR="005C2328" w:rsidRDefault="005C2328">
      <w:pPr>
        <w:pStyle w:val="FootnoteText"/>
      </w:pPr>
      <w:r>
        <w:rPr>
          <w:rStyle w:val="FootnoteReference"/>
        </w:rPr>
        <w:footnoteRef/>
      </w:r>
      <w:r>
        <w:t xml:space="preserve"> </w:t>
      </w:r>
      <w:r w:rsidRPr="009725E6">
        <w:rPr>
          <w:i/>
          <w:iCs/>
        </w:rPr>
        <w:t>Reinhart</w:t>
      </w:r>
      <w:r w:rsidR="009725E6">
        <w:t>, 2025 WL 2426820</w:t>
      </w:r>
      <w:r w:rsidR="00E54570">
        <w:t>,</w:t>
      </w:r>
      <w:r>
        <w:t xml:space="preserve"> at *8. </w:t>
      </w:r>
    </w:p>
  </w:footnote>
  <w:footnote w:id="146">
    <w:p w14:paraId="7DFF0D72" w14:textId="3C012587" w:rsidR="00F26CD5" w:rsidRDefault="00F26CD5" w:rsidP="00F26CD5">
      <w:pPr>
        <w:pStyle w:val="FootnoteText"/>
      </w:pPr>
      <w:r>
        <w:rPr>
          <w:rStyle w:val="FootnoteReference"/>
        </w:rPr>
        <w:footnoteRef/>
      </w:r>
      <w:r>
        <w:t xml:space="preserve"> </w:t>
      </w:r>
      <w:r w:rsidRPr="00883A0A">
        <w:rPr>
          <w:i/>
          <w:iCs/>
        </w:rPr>
        <w:t>Doe v. BlueCross BlueShield of Tennessee, Inc</w:t>
      </w:r>
      <w:r>
        <w:t>., 926 F.3d 235</w:t>
      </w:r>
      <w:r w:rsidR="005D18D1">
        <w:t>, 241</w:t>
      </w:r>
      <w:r>
        <w:t xml:space="preserve"> (6th Cir. 2019).</w:t>
      </w:r>
    </w:p>
  </w:footnote>
  <w:footnote w:id="147">
    <w:p w14:paraId="21CF994B" w14:textId="2184A7AF" w:rsidR="00A83E5C" w:rsidRDefault="00A83E5C">
      <w:pPr>
        <w:pStyle w:val="FootnoteText"/>
      </w:pPr>
      <w:r>
        <w:rPr>
          <w:rStyle w:val="FootnoteReference"/>
        </w:rPr>
        <w:footnoteRef/>
      </w:r>
      <w:r>
        <w:t xml:space="preserve"> 29 U.S.C. § 794(a). </w:t>
      </w:r>
    </w:p>
  </w:footnote>
  <w:footnote w:id="148">
    <w:p w14:paraId="503CEF71" w14:textId="3A3B4C5B" w:rsidR="00ED2084" w:rsidRPr="00ED2084" w:rsidRDefault="00ED2084">
      <w:pPr>
        <w:pStyle w:val="FootnoteText"/>
      </w:pPr>
      <w:r>
        <w:rPr>
          <w:rStyle w:val="FootnoteReference"/>
        </w:rPr>
        <w:footnoteRef/>
      </w:r>
      <w:r>
        <w:t xml:space="preserve"> </w:t>
      </w:r>
      <w:r w:rsidR="00A83E5C">
        <w:rPr>
          <w:i/>
          <w:iCs/>
        </w:rPr>
        <w:t>Doe</w:t>
      </w:r>
      <w:r w:rsidR="009725E6">
        <w:t xml:space="preserve">, 926 F.3d </w:t>
      </w:r>
      <w:r>
        <w:t xml:space="preserve">at 242. </w:t>
      </w:r>
    </w:p>
  </w:footnote>
  <w:footnote w:id="149">
    <w:p w14:paraId="51D2949E" w14:textId="5F1D51BC" w:rsidR="006B4212" w:rsidRPr="006B4212" w:rsidRDefault="006B4212">
      <w:pPr>
        <w:pStyle w:val="FootnoteText"/>
      </w:pPr>
      <w:r>
        <w:rPr>
          <w:rStyle w:val="FootnoteReference"/>
        </w:rPr>
        <w:footnoteRef/>
      </w:r>
      <w:r>
        <w:t xml:space="preserve"> </w:t>
      </w:r>
      <w:r>
        <w:rPr>
          <w:i/>
          <w:iCs/>
        </w:rPr>
        <w:t>See supra</w:t>
      </w:r>
      <w:r>
        <w:t xml:space="preserve"> Sections</w:t>
      </w:r>
      <w:r w:rsidR="00BC679B">
        <w:t xml:space="preserve"> IV</w:t>
      </w:r>
      <w:r w:rsidR="00100E14">
        <w:t xml:space="preserve"> and </w:t>
      </w:r>
      <w:r w:rsidR="00BC679B">
        <w:t xml:space="preserve">VI. </w:t>
      </w:r>
    </w:p>
  </w:footnote>
  <w:footnote w:id="150">
    <w:p w14:paraId="37F9A0A3" w14:textId="75DD81F7" w:rsidR="00E35852" w:rsidRDefault="00E35852">
      <w:pPr>
        <w:pStyle w:val="FootnoteText"/>
      </w:pPr>
      <w:r>
        <w:rPr>
          <w:rStyle w:val="FootnoteReference"/>
        </w:rPr>
        <w:footnoteRef/>
      </w:r>
      <w:r>
        <w:t xml:space="preserve"> </w:t>
      </w:r>
      <w:r w:rsidR="00042FED">
        <w:t xml:space="preserve">45 C.F.R. </w:t>
      </w:r>
      <w:r w:rsidR="00932D06">
        <w:t>85.51(b)(3)</w:t>
      </w:r>
      <w:r w:rsidR="00AB5B3A">
        <w:t xml:space="preserve"> </w:t>
      </w:r>
      <w:r w:rsidR="00042FED">
        <w:t xml:space="preserve">(1978). </w:t>
      </w:r>
    </w:p>
  </w:footnote>
  <w:footnote w:id="151">
    <w:p w14:paraId="5CD8EF80" w14:textId="0EA80932" w:rsidR="00AC087F" w:rsidRDefault="00AC087F">
      <w:pPr>
        <w:pStyle w:val="FootnoteText"/>
      </w:pPr>
      <w:r>
        <w:rPr>
          <w:rStyle w:val="FootnoteReference"/>
        </w:rPr>
        <w:footnoteRef/>
      </w:r>
      <w:r>
        <w:t xml:space="preserve"> </w:t>
      </w:r>
      <w:r w:rsidRPr="00A10C84">
        <w:rPr>
          <w:i/>
          <w:iCs/>
        </w:rPr>
        <w:t>Doe</w:t>
      </w:r>
      <w:r>
        <w:t xml:space="preserve">, </w:t>
      </w:r>
      <w:r w:rsidR="00A10C84">
        <w:t>926 F.3d at 243 (internal citations omitted).</w:t>
      </w:r>
    </w:p>
  </w:footnote>
  <w:footnote w:id="152">
    <w:p w14:paraId="574A5DEF" w14:textId="225914EB" w:rsidR="00DF2926" w:rsidRDefault="00DF2926">
      <w:pPr>
        <w:pStyle w:val="FootnoteText"/>
      </w:pPr>
      <w:r>
        <w:rPr>
          <w:rStyle w:val="FootnoteReference"/>
        </w:rPr>
        <w:footnoteRef/>
      </w:r>
      <w:r>
        <w:t xml:space="preserve"> </w:t>
      </w:r>
      <w:r w:rsidRPr="00F63343">
        <w:rPr>
          <w:i/>
          <w:iCs/>
        </w:rPr>
        <w:t>Booth</w:t>
      </w:r>
      <w:r w:rsidR="00387B57">
        <w:t xml:space="preserve">, 164 F.4th </w:t>
      </w:r>
      <w:r>
        <w:t xml:space="preserve">at 596 (citing </w:t>
      </w:r>
      <w:r w:rsidRPr="00F63343">
        <w:rPr>
          <w:i/>
          <w:iCs/>
        </w:rPr>
        <w:t>Doe</w:t>
      </w:r>
      <w:r w:rsidR="00023A1D">
        <w:t xml:space="preserve">, 926 F.3d </w:t>
      </w:r>
      <w:r>
        <w:t xml:space="preserve">at 241-42). </w:t>
      </w:r>
    </w:p>
  </w:footnote>
  <w:footnote w:id="153">
    <w:p w14:paraId="48CB7BDB" w14:textId="77777777" w:rsidR="008712BA" w:rsidRDefault="008712BA" w:rsidP="008712BA">
      <w:pPr>
        <w:pStyle w:val="FootnoteText"/>
      </w:pPr>
      <w:r>
        <w:rPr>
          <w:rStyle w:val="FootnoteReference"/>
        </w:rPr>
        <w:footnoteRef/>
      </w:r>
      <w:r>
        <w:t xml:space="preserve"> 42 U.S.C. § 12201(a) (“</w:t>
      </w:r>
      <w:r w:rsidRPr="006E6CF7">
        <w:t>nothing in this chapter shall be construed to apply a lesser standard than the standards applied under</w:t>
      </w:r>
      <w:r>
        <w:t xml:space="preserve">” Section 504). </w:t>
      </w:r>
    </w:p>
  </w:footnote>
  <w:footnote w:id="154">
    <w:p w14:paraId="366E6E82" w14:textId="4A6F7961" w:rsidR="00635DB0" w:rsidRPr="00D7760D" w:rsidRDefault="00635DB0" w:rsidP="003837BB">
      <w:pPr>
        <w:pStyle w:val="FootnoteText"/>
      </w:pPr>
      <w:r>
        <w:rPr>
          <w:rStyle w:val="FootnoteReference"/>
        </w:rPr>
        <w:footnoteRef/>
      </w:r>
      <w:r w:rsidR="003837BB">
        <w:t xml:space="preserve"> </w:t>
      </w:r>
      <w:r w:rsidR="003837BB">
        <w:rPr>
          <w:i/>
          <w:iCs/>
        </w:rPr>
        <w:t xml:space="preserve">Thomas v. </w:t>
      </w:r>
      <w:proofErr w:type="spellStart"/>
      <w:r w:rsidR="003837BB">
        <w:rPr>
          <w:i/>
          <w:iCs/>
        </w:rPr>
        <w:t>Piggett</w:t>
      </w:r>
      <w:proofErr w:type="spellEnd"/>
      <w:r w:rsidR="003837BB">
        <w:t>, No. 25-1443, 2026 WL 548394, at *3 (6th Cir. Feb. 24, 2026)</w:t>
      </w:r>
      <w:r w:rsidR="00F77A6B">
        <w:t xml:space="preserve"> (“</w:t>
      </w:r>
      <w:r w:rsidR="00F77A6B" w:rsidRPr="00F77A6B">
        <w:t xml:space="preserve">The Supreme Court held in </w:t>
      </w:r>
      <w:r w:rsidR="00F77A6B" w:rsidRPr="00DF5CCD">
        <w:rPr>
          <w:i/>
          <w:iCs/>
        </w:rPr>
        <w:t>United States v. Georgia</w:t>
      </w:r>
      <w:r w:rsidR="00F77A6B" w:rsidRPr="00F77A6B">
        <w:t xml:space="preserve"> that a prisoner may state an ADA claim based on the </w:t>
      </w:r>
      <w:r w:rsidR="00DF5CCD">
        <w:t>‘</w:t>
      </w:r>
      <w:r w:rsidR="00F77A6B" w:rsidRPr="00F77A6B">
        <w:t>alleged deliberate refusal of prison officials to accommodate [a prisoner</w:t>
      </w:r>
      <w:r w:rsidR="00DF5CCD">
        <w:t>’</w:t>
      </w:r>
      <w:r w:rsidR="00F77A6B" w:rsidRPr="00F77A6B">
        <w:t>s] disability-related needs</w:t>
      </w:r>
      <w:r w:rsidR="00B17C26">
        <w:t xml:space="preserve"> … .</w:t>
      </w:r>
      <w:r w:rsidR="00DF5CCD">
        <w:t xml:space="preserve">’” (citing </w:t>
      </w:r>
      <w:r w:rsidR="00AA0CDA">
        <w:rPr>
          <w:i/>
          <w:iCs/>
        </w:rPr>
        <w:t>Georgia</w:t>
      </w:r>
      <w:r w:rsidR="00AA0CDA">
        <w:t xml:space="preserve">, 546 U.S. </w:t>
      </w:r>
      <w:r w:rsidR="00BE1C1E">
        <w:t>151,</w:t>
      </w:r>
      <w:r w:rsidR="00AA0CDA">
        <w:t xml:space="preserve"> 157</w:t>
      </w:r>
      <w:r w:rsidR="00B43F62">
        <w:t xml:space="preserve"> (2006)</w:t>
      </w:r>
      <w:r w:rsidR="00AA0CDA">
        <w:t>))</w:t>
      </w:r>
      <w:r w:rsidR="00DD620E">
        <w:t>.</w:t>
      </w:r>
    </w:p>
  </w:footnote>
  <w:footnote w:id="155">
    <w:p w14:paraId="1D97D1EC" w14:textId="72541A77" w:rsidR="009E43AB" w:rsidRDefault="009E43AB" w:rsidP="008F38BD">
      <w:pPr>
        <w:pStyle w:val="FootnoteText"/>
      </w:pPr>
      <w:r>
        <w:rPr>
          <w:rStyle w:val="FootnoteReference"/>
        </w:rPr>
        <w:footnoteRef/>
      </w:r>
      <w:r>
        <w:t xml:space="preserve"> </w:t>
      </w:r>
      <w:r w:rsidRPr="00BD365E">
        <w:rPr>
          <w:i/>
          <w:iCs/>
        </w:rPr>
        <w:t xml:space="preserve">Knox </w:t>
      </w:r>
      <w:proofErr w:type="spellStart"/>
      <w:r w:rsidRPr="00BD365E">
        <w:rPr>
          <w:i/>
          <w:iCs/>
        </w:rPr>
        <w:t>Cnty</w:t>
      </w:r>
      <w:proofErr w:type="spellEnd"/>
      <w:r w:rsidRPr="00BD365E">
        <w:rPr>
          <w:i/>
          <w:iCs/>
        </w:rPr>
        <w:t>., Tennessee v. M.Q</w:t>
      </w:r>
      <w:r>
        <w:t>., 62 F.4th 978, 999-1000 (6th Cir. 2023)</w:t>
      </w:r>
      <w:r w:rsidR="00DD620E">
        <w:t>;</w:t>
      </w:r>
      <w:r>
        <w:t xml:space="preserve"> </w:t>
      </w:r>
      <w:r w:rsidR="00DD620E">
        <w:rPr>
          <w:i/>
          <w:iCs/>
        </w:rPr>
        <w:t xml:space="preserve">see also </w:t>
      </w:r>
      <w:r w:rsidR="00DD620E" w:rsidRPr="00D7760D">
        <w:rPr>
          <w:i/>
          <w:iCs/>
        </w:rPr>
        <w:t>Finley v. Huss</w:t>
      </w:r>
      <w:r w:rsidR="00DD620E" w:rsidRPr="00D7760D">
        <w:t>, 102 F.4th 789, 820 (6th Cir. 2024)</w:t>
      </w:r>
      <w:r w:rsidR="00DD620E">
        <w:t xml:space="preserve"> (recognizing a failure to accommodate theory under Title II)</w:t>
      </w:r>
      <w:r w:rsidR="008F38BD">
        <w:t xml:space="preserve">; </w:t>
      </w:r>
      <w:proofErr w:type="spellStart"/>
      <w:r w:rsidR="008F38BD" w:rsidRPr="00F73359">
        <w:rPr>
          <w:i/>
          <w:iCs/>
        </w:rPr>
        <w:t>Waskul</w:t>
      </w:r>
      <w:proofErr w:type="spellEnd"/>
      <w:r w:rsidR="008F38BD" w:rsidRPr="00F73359">
        <w:rPr>
          <w:i/>
          <w:iCs/>
        </w:rPr>
        <w:t xml:space="preserve"> v. Washtenaw </w:t>
      </w:r>
      <w:proofErr w:type="spellStart"/>
      <w:r w:rsidR="008F38BD" w:rsidRPr="00F73359">
        <w:rPr>
          <w:i/>
          <w:iCs/>
        </w:rPr>
        <w:t>Cnty</w:t>
      </w:r>
      <w:proofErr w:type="spellEnd"/>
      <w:r w:rsidR="008F38BD" w:rsidRPr="00F73359">
        <w:rPr>
          <w:i/>
          <w:iCs/>
        </w:rPr>
        <w:t xml:space="preserve">. </w:t>
      </w:r>
      <w:proofErr w:type="spellStart"/>
      <w:r w:rsidR="008F38BD" w:rsidRPr="00F73359">
        <w:rPr>
          <w:i/>
          <w:iCs/>
        </w:rPr>
        <w:t>Cmty</w:t>
      </w:r>
      <w:proofErr w:type="spellEnd"/>
      <w:r w:rsidR="008F38BD" w:rsidRPr="00F73359">
        <w:rPr>
          <w:i/>
          <w:iCs/>
        </w:rPr>
        <w:t>. Mental Health</w:t>
      </w:r>
      <w:r w:rsidR="008F38BD">
        <w:t>, 979 F.3d 426, 4</w:t>
      </w:r>
      <w:r w:rsidR="00F8040D">
        <w:t>61</w:t>
      </w:r>
      <w:r w:rsidR="008F38BD">
        <w:t xml:space="preserve"> (6th Cir. 2020) (holding that</w:t>
      </w:r>
      <w:r w:rsidR="007E5B77">
        <w:t xml:space="preserve"> “</w:t>
      </w:r>
      <w:r w:rsidR="007E5B77" w:rsidRPr="007E5B77">
        <w:t xml:space="preserve">Plaintiffs may thus state a claim </w:t>
      </w:r>
      <w:r w:rsidR="007E5B77">
        <w:t xml:space="preserve">[under Section 12132] </w:t>
      </w:r>
      <w:r w:rsidR="007E5B77" w:rsidRPr="007E5B77">
        <w:t>by sufficiently alleging that they are at serious risk of institutionalization</w:t>
      </w:r>
      <w:r w:rsidR="007E5B77">
        <w:t>”</w:t>
      </w:r>
      <w:r w:rsidR="00F73359">
        <w:t>)</w:t>
      </w:r>
      <w:r w:rsidR="00F8040D">
        <w:t xml:space="preserve">. </w:t>
      </w:r>
    </w:p>
  </w:footnote>
  <w:footnote w:id="156">
    <w:p w14:paraId="15B39FF7" w14:textId="1D1361AA" w:rsidR="00364290" w:rsidRPr="00BD365E" w:rsidRDefault="00364290">
      <w:pPr>
        <w:pStyle w:val="FootnoteText"/>
      </w:pPr>
      <w:r>
        <w:rPr>
          <w:rStyle w:val="FootnoteReference"/>
        </w:rPr>
        <w:footnoteRef/>
      </w:r>
      <w:r>
        <w:t xml:space="preserve"> </w:t>
      </w:r>
      <w:r w:rsidR="00FE3241">
        <w:rPr>
          <w:i/>
          <w:iCs/>
        </w:rPr>
        <w:t xml:space="preserve">Knox </w:t>
      </w:r>
      <w:proofErr w:type="spellStart"/>
      <w:r w:rsidR="00FE3241">
        <w:rPr>
          <w:i/>
          <w:iCs/>
        </w:rPr>
        <w:t>Cnty</w:t>
      </w:r>
      <w:proofErr w:type="spellEnd"/>
      <w:r w:rsidR="00FE3241" w:rsidRPr="00D33A7E">
        <w:t>.</w:t>
      </w:r>
      <w:r w:rsidR="00FE3241">
        <w:t xml:space="preserve">, </w:t>
      </w:r>
      <w:r w:rsidR="00536C3A">
        <w:t>62 F.4th</w:t>
      </w:r>
      <w:r w:rsidR="00BD365E">
        <w:t xml:space="preserve"> at 1000 (citing </w:t>
      </w:r>
      <w:r w:rsidR="00BD365E" w:rsidRPr="00BD365E">
        <w:rPr>
          <w:i/>
          <w:iCs/>
        </w:rPr>
        <w:t>Wilson v. Gregory</w:t>
      </w:r>
      <w:r w:rsidR="00BD365E" w:rsidRPr="00364290">
        <w:t xml:space="preserve">, 3 F.4th 844, 859–60 (6th Cir. 2021); </w:t>
      </w:r>
      <w:r w:rsidR="00BD365E" w:rsidRPr="00BD365E">
        <w:rPr>
          <w:i/>
          <w:iCs/>
        </w:rPr>
        <w:t>Marble v. Tennessee</w:t>
      </w:r>
      <w:r w:rsidR="00BD365E" w:rsidRPr="00364290">
        <w:t xml:space="preserve">, 767 F. </w:t>
      </w:r>
      <w:proofErr w:type="spellStart"/>
      <w:r w:rsidR="00BD365E" w:rsidRPr="00364290">
        <w:t>App'x</w:t>
      </w:r>
      <w:proofErr w:type="spellEnd"/>
      <w:r w:rsidR="00BD365E" w:rsidRPr="00364290">
        <w:t xml:space="preserve"> 647, 650–51 (6th Cir. 2019); </w:t>
      </w:r>
      <w:r w:rsidR="00BD365E" w:rsidRPr="00BD365E">
        <w:rPr>
          <w:i/>
          <w:iCs/>
        </w:rPr>
        <w:t xml:space="preserve">Roell v. Hamilton </w:t>
      </w:r>
      <w:proofErr w:type="spellStart"/>
      <w:r w:rsidR="00BD365E" w:rsidRPr="00BD365E">
        <w:rPr>
          <w:i/>
          <w:iCs/>
        </w:rPr>
        <w:t>Cnty</w:t>
      </w:r>
      <w:proofErr w:type="spellEnd"/>
      <w:r w:rsidR="00BD365E" w:rsidRPr="00364290">
        <w:t xml:space="preserve">., 870 F.3d 471, 488 (6th Cir. 2017); </w:t>
      </w:r>
      <w:r w:rsidR="00BD365E" w:rsidRPr="00F96906">
        <w:rPr>
          <w:i/>
          <w:iCs/>
        </w:rPr>
        <w:t>Ability Ctr</w:t>
      </w:r>
      <w:r w:rsidR="00BD365E" w:rsidRPr="00364290">
        <w:t xml:space="preserve">., 385 F.3d </w:t>
      </w:r>
      <w:r w:rsidR="00BD365E">
        <w:t>at</w:t>
      </w:r>
      <w:r w:rsidR="00BD365E" w:rsidRPr="00364290">
        <w:t xml:space="preserve"> 907</w:t>
      </w:r>
      <w:r w:rsidR="00342FB7">
        <w:t>)</w:t>
      </w:r>
      <w:r w:rsidR="00BD365E">
        <w:t xml:space="preserve">. </w:t>
      </w:r>
    </w:p>
  </w:footnote>
  <w:footnote w:id="157">
    <w:p w14:paraId="703EE127" w14:textId="3B4ED565" w:rsidR="00474D5F" w:rsidRDefault="00474D5F">
      <w:pPr>
        <w:pStyle w:val="FootnoteText"/>
      </w:pPr>
      <w:r>
        <w:rPr>
          <w:rStyle w:val="FootnoteReference"/>
        </w:rPr>
        <w:footnoteRef/>
      </w:r>
      <w:r>
        <w:t xml:space="preserve"> </w:t>
      </w:r>
      <w:r w:rsidRPr="00BB7FF0">
        <w:rPr>
          <w:i/>
          <w:iCs/>
        </w:rPr>
        <w:t>Reinhart</w:t>
      </w:r>
      <w:r w:rsidR="00AE577F">
        <w:t xml:space="preserve">, </w:t>
      </w:r>
      <w:r w:rsidR="00AE577F" w:rsidRPr="00AE577F">
        <w:t>2025 WL 2426820</w:t>
      </w:r>
      <w:r w:rsidR="00C60299">
        <w:t>,</w:t>
      </w:r>
      <w:r>
        <w:t xml:space="preserve"> at *10 (citing </w:t>
      </w:r>
      <w:r w:rsidR="00975447" w:rsidRPr="00BB7FF0">
        <w:rPr>
          <w:i/>
          <w:iCs/>
        </w:rPr>
        <w:t xml:space="preserve">Sosa v. Mass. </w:t>
      </w:r>
      <w:proofErr w:type="spellStart"/>
      <w:r w:rsidR="00975447" w:rsidRPr="00BB7FF0">
        <w:rPr>
          <w:i/>
          <w:iCs/>
        </w:rPr>
        <w:t>Dep't</w:t>
      </w:r>
      <w:proofErr w:type="spellEnd"/>
      <w:r w:rsidR="00975447" w:rsidRPr="00BB7FF0">
        <w:rPr>
          <w:i/>
          <w:iCs/>
        </w:rPr>
        <w:t xml:space="preserve"> of Corr</w:t>
      </w:r>
      <w:r w:rsidR="00975447" w:rsidRPr="00975447">
        <w:t>., 80 F.4th 15, 30 (1st Cir. 2023</w:t>
      </w:r>
      <w:r w:rsidR="00975447">
        <w:t xml:space="preserve">) </w:t>
      </w:r>
      <w:r w:rsidR="00BB7FF0">
        <w:t xml:space="preserve">(collecting </w:t>
      </w:r>
      <w:r w:rsidR="00975447">
        <w:t>cases)</w:t>
      </w:r>
      <w:r w:rsidR="00BB7FF0">
        <w:t>)</w:t>
      </w:r>
      <w:r w:rsidR="00975447">
        <w:t xml:space="preserve">. </w:t>
      </w:r>
      <w:r w:rsidR="004908B4">
        <w:t xml:space="preserve">It’s odd that he cites to cases standing for the proposition that reasonable accommodations are required by Title II, as the Reinhart case itself addresses </w:t>
      </w:r>
      <w:r w:rsidR="000F51C4">
        <w:t xml:space="preserve">accessibility requirements. </w:t>
      </w:r>
    </w:p>
  </w:footnote>
  <w:footnote w:id="158">
    <w:p w14:paraId="6B47ED77" w14:textId="77777777" w:rsidR="00037102" w:rsidRDefault="00037102" w:rsidP="00037102">
      <w:pPr>
        <w:pStyle w:val="FootnoteText"/>
      </w:pPr>
      <w:r>
        <w:rPr>
          <w:rStyle w:val="FootnoteReference"/>
        </w:rPr>
        <w:footnoteRef/>
      </w:r>
      <w:r>
        <w:t xml:space="preserve"> </w:t>
      </w:r>
      <w:r w:rsidRPr="00EA45CF">
        <w:rPr>
          <w:i/>
          <w:iCs/>
        </w:rPr>
        <w:t>Sosa</w:t>
      </w:r>
      <w:r>
        <w:t>, 80 F.4th at 30.</w:t>
      </w:r>
    </w:p>
  </w:footnote>
  <w:footnote w:id="159">
    <w:p w14:paraId="5FEFEB33" w14:textId="7C7B5D7E" w:rsidR="000F7945" w:rsidRDefault="000F7945" w:rsidP="000F7945">
      <w:pPr>
        <w:pStyle w:val="FootnoteText"/>
      </w:pPr>
      <w:r>
        <w:rPr>
          <w:rStyle w:val="FootnoteReference"/>
        </w:rPr>
        <w:footnoteRef/>
      </w:r>
      <w:r>
        <w:t xml:space="preserve"> </w:t>
      </w:r>
      <w:r w:rsidRPr="00EA45CF">
        <w:rPr>
          <w:i/>
          <w:iCs/>
        </w:rPr>
        <w:t xml:space="preserve">Hamilton v. Westchester </w:t>
      </w:r>
      <w:r>
        <w:rPr>
          <w:i/>
          <w:iCs/>
        </w:rPr>
        <w:t>County</w:t>
      </w:r>
      <w:r w:rsidRPr="00A00355">
        <w:t>, 3 F.4th 86, 91 (2d Cir. 2021)</w:t>
      </w:r>
      <w:r>
        <w:t xml:space="preserve"> (citation omitted). </w:t>
      </w:r>
    </w:p>
  </w:footnote>
  <w:footnote w:id="160">
    <w:p w14:paraId="2BAC5162" w14:textId="4839E9E9" w:rsidR="00CE2E02" w:rsidRDefault="00CE2E02" w:rsidP="00CE2E02">
      <w:pPr>
        <w:pStyle w:val="FootnoteText"/>
      </w:pPr>
      <w:r>
        <w:rPr>
          <w:rStyle w:val="FootnoteReference"/>
        </w:rPr>
        <w:footnoteRef/>
      </w:r>
      <w:r>
        <w:t xml:space="preserve"> </w:t>
      </w:r>
      <w:r w:rsidRPr="00E60D04">
        <w:rPr>
          <w:i/>
          <w:iCs/>
        </w:rPr>
        <w:t xml:space="preserve">Williams v. </w:t>
      </w:r>
      <w:r>
        <w:rPr>
          <w:i/>
          <w:iCs/>
        </w:rPr>
        <w:t>Sec</w:t>
      </w:r>
      <w:r w:rsidR="00741EB2">
        <w:rPr>
          <w:i/>
          <w:iCs/>
        </w:rPr>
        <w:t>’</w:t>
      </w:r>
      <w:r>
        <w:rPr>
          <w:i/>
          <w:iCs/>
        </w:rPr>
        <w:t xml:space="preserve">y, </w:t>
      </w:r>
      <w:r w:rsidRPr="00E60D04">
        <w:rPr>
          <w:i/>
          <w:iCs/>
        </w:rPr>
        <w:t xml:space="preserve">Pennsylvania </w:t>
      </w:r>
      <w:proofErr w:type="spellStart"/>
      <w:r w:rsidRPr="00E60D04">
        <w:rPr>
          <w:i/>
          <w:iCs/>
        </w:rPr>
        <w:t>Dep</w:t>
      </w:r>
      <w:r w:rsidR="004F1DC7">
        <w:rPr>
          <w:i/>
          <w:iCs/>
        </w:rPr>
        <w:t>’</w:t>
      </w:r>
      <w:r>
        <w:rPr>
          <w:i/>
          <w:iCs/>
        </w:rPr>
        <w:t>t</w:t>
      </w:r>
      <w:proofErr w:type="spellEnd"/>
      <w:r>
        <w:rPr>
          <w:i/>
          <w:iCs/>
        </w:rPr>
        <w:t xml:space="preserve"> </w:t>
      </w:r>
      <w:r w:rsidRPr="00E60D04">
        <w:rPr>
          <w:i/>
          <w:iCs/>
        </w:rPr>
        <w:t>of Cor</w:t>
      </w:r>
      <w:r>
        <w:rPr>
          <w:i/>
          <w:iCs/>
        </w:rPr>
        <w:t>r</w:t>
      </w:r>
      <w:r w:rsidR="004F1DC7">
        <w:rPr>
          <w:i/>
          <w:iCs/>
        </w:rPr>
        <w:t>.</w:t>
      </w:r>
      <w:r>
        <w:t xml:space="preserve">, 117 F.4th 503, 529 (3d Cir. 2024), </w:t>
      </w:r>
      <w:r w:rsidRPr="00E60D04">
        <w:rPr>
          <w:i/>
          <w:iCs/>
        </w:rPr>
        <w:t>cert. denied sub nom. Wetzel v. Williams</w:t>
      </w:r>
      <w:r>
        <w:t xml:space="preserve">, 146 S. Ct. 91 (2025). </w:t>
      </w:r>
    </w:p>
  </w:footnote>
  <w:footnote w:id="161">
    <w:p w14:paraId="17FC01B4" w14:textId="77777777" w:rsidR="00F955D7" w:rsidRDefault="00F955D7" w:rsidP="00F955D7">
      <w:pPr>
        <w:pStyle w:val="FootnoteText"/>
      </w:pPr>
      <w:r>
        <w:rPr>
          <w:rStyle w:val="FootnoteReference"/>
        </w:rPr>
        <w:footnoteRef/>
      </w:r>
      <w:r>
        <w:t xml:space="preserve"> </w:t>
      </w:r>
      <w:r w:rsidRPr="00EA45CF">
        <w:rPr>
          <w:i/>
          <w:iCs/>
        </w:rPr>
        <w:t>Richardson v. Clarke</w:t>
      </w:r>
      <w:r w:rsidRPr="00A00355">
        <w:t>, 52 F.4th 614, 619 (4th Cir. 2022)</w:t>
      </w:r>
      <w:r>
        <w:t xml:space="preserve">. </w:t>
      </w:r>
    </w:p>
  </w:footnote>
  <w:footnote w:id="162">
    <w:p w14:paraId="3C16AC7C" w14:textId="61957A21" w:rsidR="00F955D7" w:rsidRDefault="00F955D7" w:rsidP="00F955D7">
      <w:pPr>
        <w:pStyle w:val="FootnoteText"/>
      </w:pPr>
      <w:r>
        <w:rPr>
          <w:rStyle w:val="FootnoteReference"/>
        </w:rPr>
        <w:footnoteRef/>
      </w:r>
      <w:r>
        <w:t xml:space="preserve"> </w:t>
      </w:r>
      <w:r w:rsidRPr="00B77595">
        <w:rPr>
          <w:i/>
          <w:iCs/>
        </w:rPr>
        <w:t xml:space="preserve">Carter </w:t>
      </w:r>
      <w:r w:rsidR="00B70E8D">
        <w:rPr>
          <w:i/>
          <w:iCs/>
        </w:rPr>
        <w:t>ex rel.</w:t>
      </w:r>
      <w:r w:rsidRPr="00B77595">
        <w:rPr>
          <w:i/>
          <w:iCs/>
        </w:rPr>
        <w:t xml:space="preserve"> Carter v. City of Shreveport</w:t>
      </w:r>
      <w:r>
        <w:t xml:space="preserve">, 144 F.4th 809, 814 (5th Cir. 2025). </w:t>
      </w:r>
    </w:p>
  </w:footnote>
  <w:footnote w:id="163">
    <w:p w14:paraId="5C732624" w14:textId="77777777" w:rsidR="00F955D7" w:rsidRDefault="00F955D7" w:rsidP="00F955D7">
      <w:pPr>
        <w:pStyle w:val="FootnoteText"/>
      </w:pPr>
      <w:r>
        <w:rPr>
          <w:rStyle w:val="FootnoteReference"/>
        </w:rPr>
        <w:footnoteRef/>
      </w:r>
      <w:r>
        <w:t xml:space="preserve"> </w:t>
      </w:r>
      <w:r w:rsidRPr="00295F1B">
        <w:rPr>
          <w:i/>
          <w:iCs/>
        </w:rPr>
        <w:t>Brown v. Meisner</w:t>
      </w:r>
      <w:r>
        <w:t xml:space="preserve">, 81 F.4th 706, 709 (7th Cir. 2023). </w:t>
      </w:r>
    </w:p>
  </w:footnote>
  <w:footnote w:id="164">
    <w:p w14:paraId="295ECECE" w14:textId="77777777" w:rsidR="00F955D7" w:rsidRDefault="00F955D7" w:rsidP="00F955D7">
      <w:pPr>
        <w:pStyle w:val="FootnoteText"/>
      </w:pPr>
      <w:r>
        <w:rPr>
          <w:rStyle w:val="FootnoteReference"/>
        </w:rPr>
        <w:footnoteRef/>
      </w:r>
      <w:r>
        <w:t xml:space="preserve"> </w:t>
      </w:r>
      <w:r w:rsidRPr="009A1545">
        <w:rPr>
          <w:i/>
          <w:iCs/>
        </w:rPr>
        <w:t>Hall v. Higgins</w:t>
      </w:r>
      <w:r>
        <w:t xml:space="preserve">, 77 F.4th 1171, 1181 (8th Cir. 2023). </w:t>
      </w:r>
    </w:p>
  </w:footnote>
  <w:footnote w:id="165">
    <w:p w14:paraId="05BF6156" w14:textId="5765567D" w:rsidR="00F955D7" w:rsidRDefault="00F955D7" w:rsidP="00F955D7">
      <w:pPr>
        <w:pStyle w:val="FootnoteText"/>
      </w:pPr>
      <w:r>
        <w:rPr>
          <w:rStyle w:val="FootnoteReference"/>
        </w:rPr>
        <w:footnoteRef/>
      </w:r>
      <w:r>
        <w:t xml:space="preserve"> </w:t>
      </w:r>
      <w:r w:rsidRPr="00EA45CF">
        <w:rPr>
          <w:i/>
          <w:iCs/>
        </w:rPr>
        <w:t xml:space="preserve">Payan v. </w:t>
      </w:r>
      <w:r>
        <w:rPr>
          <w:i/>
          <w:iCs/>
        </w:rPr>
        <w:t xml:space="preserve">Los Angeles </w:t>
      </w:r>
      <w:proofErr w:type="spellStart"/>
      <w:r>
        <w:rPr>
          <w:i/>
          <w:iCs/>
        </w:rPr>
        <w:t>Cmty</w:t>
      </w:r>
      <w:proofErr w:type="spellEnd"/>
      <w:r w:rsidR="00C00FC6">
        <w:rPr>
          <w:i/>
          <w:iCs/>
        </w:rPr>
        <w:t>.</w:t>
      </w:r>
      <w:r>
        <w:rPr>
          <w:i/>
          <w:iCs/>
        </w:rPr>
        <w:t xml:space="preserve"> Coll</w:t>
      </w:r>
      <w:r w:rsidR="00360FF1">
        <w:rPr>
          <w:i/>
          <w:iCs/>
        </w:rPr>
        <w:t>.</w:t>
      </w:r>
      <w:r>
        <w:rPr>
          <w:i/>
          <w:iCs/>
        </w:rPr>
        <w:t xml:space="preserve"> Dist</w:t>
      </w:r>
      <w:r w:rsidR="00360FF1">
        <w:rPr>
          <w:i/>
          <w:iCs/>
        </w:rPr>
        <w:t>.</w:t>
      </w:r>
      <w:r w:rsidRPr="00A00355">
        <w:t>, 11 F.4th 729, 738 (9th Cir. 2021)</w:t>
      </w:r>
      <w:r>
        <w:t xml:space="preserve"> (citation omitted). </w:t>
      </w:r>
    </w:p>
  </w:footnote>
  <w:footnote w:id="166">
    <w:p w14:paraId="087D36F4" w14:textId="2BFFFC87" w:rsidR="00F955D7" w:rsidRPr="009760D1" w:rsidRDefault="00F955D7" w:rsidP="00F955D7">
      <w:pPr>
        <w:pStyle w:val="FootnoteText"/>
      </w:pPr>
      <w:r>
        <w:rPr>
          <w:rStyle w:val="FootnoteReference"/>
        </w:rPr>
        <w:footnoteRef/>
      </w:r>
      <w:r>
        <w:t xml:space="preserve"> </w:t>
      </w:r>
      <w:r w:rsidRPr="00333B72">
        <w:rPr>
          <w:i/>
          <w:iCs/>
        </w:rPr>
        <w:t>Chaffin v. Kansas State Fair Bd</w:t>
      </w:r>
      <w:r>
        <w:t xml:space="preserve">., 348 F.3d 850, 859-60 (10th Cir. 2003), </w:t>
      </w:r>
      <w:r w:rsidRPr="00CC18AD">
        <w:rPr>
          <w:i/>
          <w:iCs/>
        </w:rPr>
        <w:t>overruled on other grounds as recognized by</w:t>
      </w:r>
      <w:r w:rsidRPr="00CC18AD">
        <w:t xml:space="preserve"> </w:t>
      </w:r>
      <w:r w:rsidRPr="00CC18AD">
        <w:rPr>
          <w:i/>
          <w:iCs/>
        </w:rPr>
        <w:t>Muscogee (Creek) Nation v. Pruitt</w:t>
      </w:r>
      <w:r w:rsidRPr="00CC18AD">
        <w:t>, 669 F.3d 1159, 1167 n.4 (10th Cir. 2012))</w:t>
      </w:r>
      <w:r>
        <w:t xml:space="preserve">; </w:t>
      </w:r>
      <w:r>
        <w:rPr>
          <w:i/>
          <w:iCs/>
        </w:rPr>
        <w:t xml:space="preserve">see also </w:t>
      </w:r>
      <w:r w:rsidRPr="009760D1">
        <w:rPr>
          <w:i/>
          <w:iCs/>
        </w:rPr>
        <w:t xml:space="preserve">Brooks v. Colorado </w:t>
      </w:r>
      <w:proofErr w:type="spellStart"/>
      <w:r w:rsidRPr="009760D1">
        <w:rPr>
          <w:i/>
          <w:iCs/>
        </w:rPr>
        <w:t>Dep't</w:t>
      </w:r>
      <w:proofErr w:type="spellEnd"/>
      <w:r w:rsidRPr="009760D1">
        <w:rPr>
          <w:i/>
          <w:iCs/>
        </w:rPr>
        <w:t xml:space="preserve"> of Corr</w:t>
      </w:r>
      <w:r w:rsidRPr="009760D1">
        <w:t>., 12 F.4th 1160, 1167 (10th Cir. 2021) (Title II “places an affirmative obligation on public entities to reasonably accommodate qualified individuals with disabilities to allow them to participate in its programs and services.”).</w:t>
      </w:r>
    </w:p>
  </w:footnote>
  <w:footnote w:id="167">
    <w:p w14:paraId="79F5926B" w14:textId="77777777" w:rsidR="00F955D7" w:rsidRDefault="00F955D7" w:rsidP="00F955D7">
      <w:pPr>
        <w:pStyle w:val="FootnoteText"/>
      </w:pPr>
      <w:r>
        <w:rPr>
          <w:rStyle w:val="FootnoteReference"/>
        </w:rPr>
        <w:footnoteRef/>
      </w:r>
      <w:r>
        <w:t xml:space="preserve"> </w:t>
      </w:r>
      <w:r w:rsidRPr="000B741E">
        <w:rPr>
          <w:i/>
          <w:iCs/>
        </w:rPr>
        <w:t>Ellard v. Cannon</w:t>
      </w:r>
      <w:r>
        <w:t xml:space="preserve">, No. 25-11670, 2026 WL 293288, at *3 (11th Cir. Feb. 4, 2026). </w:t>
      </w:r>
    </w:p>
  </w:footnote>
  <w:footnote w:id="168">
    <w:p w14:paraId="46A69401" w14:textId="77777777" w:rsidR="00F955D7" w:rsidRDefault="00F955D7" w:rsidP="00F955D7">
      <w:pPr>
        <w:pStyle w:val="FootnoteText"/>
      </w:pPr>
      <w:r>
        <w:rPr>
          <w:rStyle w:val="FootnoteReference"/>
        </w:rPr>
        <w:footnoteRef/>
      </w:r>
      <w:r>
        <w:t xml:space="preserve"> </w:t>
      </w:r>
      <w:r w:rsidRPr="001D5831">
        <w:rPr>
          <w:i/>
          <w:iCs/>
        </w:rPr>
        <w:t>Brown v. District of Columbia</w:t>
      </w:r>
      <w:r>
        <w:t xml:space="preserve">, 928 F.3d 1070, 1073 (D.C. Cir. 2019). </w:t>
      </w:r>
    </w:p>
  </w:footnote>
  <w:footnote w:id="169">
    <w:p w14:paraId="1D32140E" w14:textId="0EF1F138" w:rsidR="008D188E" w:rsidRPr="00F32A4A" w:rsidRDefault="008D188E" w:rsidP="00384450">
      <w:pPr>
        <w:pStyle w:val="FootnoteText"/>
      </w:pPr>
      <w:r>
        <w:rPr>
          <w:rStyle w:val="FootnoteReference"/>
        </w:rPr>
        <w:footnoteRef/>
      </w:r>
      <w:r>
        <w:t xml:space="preserve"> </w:t>
      </w:r>
      <w:r>
        <w:rPr>
          <w:i/>
          <w:iCs/>
        </w:rPr>
        <w:t>See, e.g.</w:t>
      </w:r>
      <w:r>
        <w:t xml:space="preserve">, </w:t>
      </w:r>
      <w:proofErr w:type="spellStart"/>
      <w:r w:rsidRPr="002B7897">
        <w:rPr>
          <w:i/>
          <w:iCs/>
        </w:rPr>
        <w:t>Karantsalis</w:t>
      </w:r>
      <w:proofErr w:type="spellEnd"/>
      <w:r w:rsidRPr="002B7897">
        <w:rPr>
          <w:i/>
          <w:iCs/>
        </w:rPr>
        <w:t xml:space="preserve"> v. City of Miami Springs, Fla</w:t>
      </w:r>
      <w:r>
        <w:t>., 17 F.4th 1316, 1322 (11th Cir. 2021) (</w:t>
      </w:r>
      <w:r w:rsidR="002B7897">
        <w:t>“</w:t>
      </w:r>
      <w:r>
        <w:t xml:space="preserve">the City is </w:t>
      </w:r>
      <w:r w:rsidR="002B7897">
        <w:t>‘</w:t>
      </w:r>
      <w:r>
        <w:t>obligated to ensure that each service, program, or activity at its [municipal facilities], when viewed in its entirety, [is] readily accessible to individuals with disabilities.</w:t>
      </w:r>
      <w:r w:rsidR="002B7897">
        <w:t>’</w:t>
      </w:r>
      <w:r>
        <w:t>”</w:t>
      </w:r>
      <w:r w:rsidR="002B7897">
        <w:t xml:space="preserve">); </w:t>
      </w:r>
      <w:r w:rsidR="00B76DE8" w:rsidRPr="00B76DE8">
        <w:rPr>
          <w:i/>
          <w:iCs/>
        </w:rPr>
        <w:t xml:space="preserve">Lacy v. Cook </w:t>
      </w:r>
      <w:proofErr w:type="spellStart"/>
      <w:r w:rsidR="00B76DE8" w:rsidRPr="00B76DE8">
        <w:rPr>
          <w:i/>
          <w:iCs/>
        </w:rPr>
        <w:t>Cnty</w:t>
      </w:r>
      <w:proofErr w:type="spellEnd"/>
      <w:r w:rsidR="00B76DE8" w:rsidRPr="00B76DE8">
        <w:rPr>
          <w:i/>
          <w:iCs/>
        </w:rPr>
        <w:t>., Illinois</w:t>
      </w:r>
      <w:r w:rsidR="00B76DE8">
        <w:t>, 897 F.3d 847, 868 (7th Cir. 2018) (holding that Title II require</w:t>
      </w:r>
      <w:r w:rsidR="004F2BEA">
        <w:t>s</w:t>
      </w:r>
      <w:r w:rsidR="00B76DE8">
        <w:t xml:space="preserve"> </w:t>
      </w:r>
      <w:r w:rsidR="00EC2BE6">
        <w:t>public entities to ensure that alterations to facilities were accessible)</w:t>
      </w:r>
      <w:r w:rsidR="000C3E3F">
        <w:t xml:space="preserve">; </w:t>
      </w:r>
      <w:proofErr w:type="spellStart"/>
      <w:r w:rsidR="000C3E3F" w:rsidRPr="000C3E3F">
        <w:rPr>
          <w:i/>
          <w:iCs/>
        </w:rPr>
        <w:t>Fortyune</w:t>
      </w:r>
      <w:proofErr w:type="spellEnd"/>
      <w:r w:rsidR="000C3E3F" w:rsidRPr="000C3E3F">
        <w:rPr>
          <w:i/>
          <w:iCs/>
        </w:rPr>
        <w:t xml:space="preserve"> v. City of Lomita</w:t>
      </w:r>
      <w:r w:rsidR="000C3E3F">
        <w:t>, 766 F.3d 1098, 1102 (9th Cir. 2014) (holding that Title II requires cities to maintain accessible on-street public parking)</w:t>
      </w:r>
      <w:r w:rsidR="00F32A4A">
        <w:t>;</w:t>
      </w:r>
      <w:r w:rsidR="00F40B30" w:rsidRPr="00F40B30">
        <w:t xml:space="preserve"> </w:t>
      </w:r>
      <w:r w:rsidR="00F40B30" w:rsidRPr="00F40B30">
        <w:rPr>
          <w:i/>
          <w:iCs/>
        </w:rPr>
        <w:t>Disabled in Action v. Bd. of Elections in City of New York</w:t>
      </w:r>
      <w:r w:rsidR="00F40B30">
        <w:t xml:space="preserve">, 752 F.3d 189, 201 (2d Cir. 2014) (holding that </w:t>
      </w:r>
      <w:r w:rsidR="0088630C">
        <w:t xml:space="preserve">city </w:t>
      </w:r>
      <w:r w:rsidR="00F40B30">
        <w:t xml:space="preserve">was required to </w:t>
      </w:r>
      <w:r w:rsidR="0088630C">
        <w:t xml:space="preserve">ensure that its voting program, when viewed in its entirety, was accessible to individuals </w:t>
      </w:r>
      <w:r w:rsidR="00407899">
        <w:t>with mobility disabilities);</w:t>
      </w:r>
      <w:r w:rsidR="00875198">
        <w:t xml:space="preserve"> </w:t>
      </w:r>
      <w:r w:rsidR="00875198">
        <w:rPr>
          <w:i/>
          <w:iCs/>
        </w:rPr>
        <w:t>Frame</w:t>
      </w:r>
      <w:r w:rsidR="00875198">
        <w:t xml:space="preserve">, </w:t>
      </w:r>
      <w:r w:rsidR="008009A6">
        <w:t xml:space="preserve">657 F.3d at </w:t>
      </w:r>
      <w:r w:rsidR="00244275">
        <w:t xml:space="preserve">231-32 (Title II requires new and altered public sidewalks to be accessible); </w:t>
      </w:r>
      <w:r w:rsidR="00F32A4A">
        <w:rPr>
          <w:i/>
          <w:iCs/>
        </w:rPr>
        <w:t>Chaffin</w:t>
      </w:r>
      <w:r w:rsidR="00F32A4A">
        <w:t xml:space="preserve">, </w:t>
      </w:r>
      <w:r w:rsidR="007E1EBF">
        <w:t xml:space="preserve">348 F.3d at 857 (requiring meaningful physical access to </w:t>
      </w:r>
      <w:r w:rsidR="00544ED0">
        <w:t>state fairgrounds)</w:t>
      </w:r>
      <w:r w:rsidR="0026431E">
        <w:t xml:space="preserve">; </w:t>
      </w:r>
      <w:r w:rsidR="00384450" w:rsidRPr="00495857">
        <w:rPr>
          <w:i/>
          <w:iCs/>
        </w:rPr>
        <w:t xml:space="preserve">Kinney v. </w:t>
      </w:r>
      <w:proofErr w:type="spellStart"/>
      <w:r w:rsidR="00384450" w:rsidRPr="00495857">
        <w:rPr>
          <w:i/>
          <w:iCs/>
        </w:rPr>
        <w:t>Yerusalim</w:t>
      </w:r>
      <w:proofErr w:type="spellEnd"/>
      <w:r w:rsidR="00384450">
        <w:t xml:space="preserve">, 9 F.3d 1067, 1075 (3d Cir. 1993) (holding that Title II requires </w:t>
      </w:r>
      <w:r w:rsidR="00495857">
        <w:t xml:space="preserve">sidewalks adjacent to resurfaced streets </w:t>
      </w:r>
      <w:r w:rsidR="004F2BEA">
        <w:t xml:space="preserve">to </w:t>
      </w:r>
      <w:r w:rsidR="00495857">
        <w:t xml:space="preserve">be made accessible). </w:t>
      </w:r>
    </w:p>
  </w:footnote>
  <w:footnote w:id="170">
    <w:p w14:paraId="59B6A821" w14:textId="1D9E4CA5" w:rsidR="00A10A71" w:rsidRPr="00263B65" w:rsidRDefault="00A10A71">
      <w:pPr>
        <w:pStyle w:val="FootnoteText"/>
      </w:pPr>
      <w:r>
        <w:rPr>
          <w:rStyle w:val="FootnoteReference"/>
        </w:rPr>
        <w:footnoteRef/>
      </w:r>
      <w:r>
        <w:t xml:space="preserve"> </w:t>
      </w:r>
      <w:r w:rsidR="002E0CFB">
        <w:t>28 C.F.R. §§ 35.150(a), 35.151(a), (b).</w:t>
      </w:r>
      <w:r w:rsidR="00263B65">
        <w:t xml:space="preserve"> </w:t>
      </w:r>
    </w:p>
  </w:footnote>
  <w:footnote w:id="171">
    <w:p w14:paraId="65F3BDCF" w14:textId="40C7D66B" w:rsidR="00005ABA" w:rsidRDefault="00005ABA" w:rsidP="00005ABA">
      <w:pPr>
        <w:pStyle w:val="FootnoteText"/>
      </w:pPr>
      <w:r>
        <w:rPr>
          <w:rStyle w:val="FootnoteReference"/>
        </w:rPr>
        <w:footnoteRef/>
      </w:r>
      <w:r>
        <w:t xml:space="preserve"> </w:t>
      </w:r>
      <w:r w:rsidRPr="008B3F02">
        <w:rPr>
          <w:i/>
          <w:iCs/>
        </w:rPr>
        <w:t>Sandoval</w:t>
      </w:r>
      <w:r>
        <w:t xml:space="preserve">, 532 U.S. </w:t>
      </w:r>
      <w:r w:rsidR="0065022B">
        <w:t xml:space="preserve">at </w:t>
      </w:r>
      <w:r>
        <w:t>285</w:t>
      </w:r>
      <w:r w:rsidR="0065022B">
        <w:t xml:space="preserve">. </w:t>
      </w:r>
    </w:p>
  </w:footnote>
  <w:footnote w:id="172">
    <w:p w14:paraId="046FFAB7" w14:textId="4E45D99E" w:rsidR="00005ABA" w:rsidRDefault="00005ABA" w:rsidP="00005ABA">
      <w:pPr>
        <w:pStyle w:val="FootnoteText"/>
      </w:pPr>
      <w:r w:rsidRPr="00EA3639">
        <w:rPr>
          <w:rStyle w:val="FootnoteReference"/>
          <w:i/>
          <w:iCs/>
        </w:rPr>
        <w:footnoteRef/>
      </w:r>
      <w:r>
        <w:t xml:space="preserve"> </w:t>
      </w:r>
      <w:r w:rsidR="004933C8" w:rsidRPr="004933C8">
        <w:rPr>
          <w:i/>
          <w:iCs/>
        </w:rPr>
        <w:t>Id</w:t>
      </w:r>
      <w:r w:rsidR="004933C8">
        <w:t>.</w:t>
      </w:r>
      <w:r>
        <w:t xml:space="preserve"> at </w:t>
      </w:r>
      <w:r w:rsidR="00CA64F6">
        <w:t>280-81</w:t>
      </w:r>
      <w:r>
        <w:t xml:space="preserve">. </w:t>
      </w:r>
    </w:p>
  </w:footnote>
  <w:footnote w:id="173">
    <w:p w14:paraId="3C8CD97E" w14:textId="52054A79" w:rsidR="00A55CD7" w:rsidRPr="00A55CD7" w:rsidRDefault="00A55CD7">
      <w:pPr>
        <w:pStyle w:val="FootnoteText"/>
      </w:pPr>
      <w:r>
        <w:rPr>
          <w:rStyle w:val="FootnoteReference"/>
        </w:rPr>
        <w:footnoteRef/>
      </w:r>
      <w:r>
        <w:t xml:space="preserve"> </w:t>
      </w:r>
      <w:r>
        <w:rPr>
          <w:i/>
          <w:iCs/>
        </w:rPr>
        <w:t>See supra</w:t>
      </w:r>
      <w:r>
        <w:t xml:space="preserve"> notes 130-134 and accompanying text. </w:t>
      </w:r>
    </w:p>
  </w:footnote>
  <w:footnote w:id="174">
    <w:p w14:paraId="657B46DC" w14:textId="46C0CFFB" w:rsidR="008E4821" w:rsidRDefault="008E4821">
      <w:pPr>
        <w:pStyle w:val="FootnoteText"/>
      </w:pPr>
      <w:r>
        <w:rPr>
          <w:rStyle w:val="FootnoteReference"/>
        </w:rPr>
        <w:footnoteRef/>
      </w:r>
      <w:r>
        <w:t xml:space="preserve"> 42 U.S.C. § </w:t>
      </w:r>
      <w:r w:rsidR="008D75F1">
        <w:t xml:space="preserve">2000d-3. </w:t>
      </w:r>
    </w:p>
  </w:footnote>
  <w:footnote w:id="175">
    <w:p w14:paraId="29713B1F" w14:textId="1E78F8AA" w:rsidR="000315B8" w:rsidRPr="003F25A6" w:rsidRDefault="000315B8">
      <w:pPr>
        <w:pStyle w:val="FootnoteText"/>
      </w:pPr>
      <w:r>
        <w:rPr>
          <w:rStyle w:val="FootnoteReference"/>
        </w:rPr>
        <w:footnoteRef/>
      </w:r>
      <w:r>
        <w:t xml:space="preserve"> </w:t>
      </w:r>
      <w:r w:rsidRPr="005C0561">
        <w:rPr>
          <w:i/>
          <w:iCs/>
        </w:rPr>
        <w:t>Darrone</w:t>
      </w:r>
      <w:r w:rsidR="005717F5">
        <w:t xml:space="preserve">, </w:t>
      </w:r>
      <w:r w:rsidR="005C0561">
        <w:t>465 U.S.</w:t>
      </w:r>
      <w:r>
        <w:t xml:space="preserve"> at </w:t>
      </w:r>
      <w:r w:rsidR="005717F5">
        <w:t>632</w:t>
      </w:r>
      <w:r w:rsidR="0088636F">
        <w:t xml:space="preserve"> (emphasis added)</w:t>
      </w:r>
      <w:r w:rsidR="00405B32">
        <w:t xml:space="preserve">; </w:t>
      </w:r>
      <w:r w:rsidR="00405B32">
        <w:rPr>
          <w:i/>
          <w:iCs/>
        </w:rPr>
        <w:t xml:space="preserve">see also </w:t>
      </w:r>
      <w:r w:rsidR="003F25A6">
        <w:rPr>
          <w:i/>
          <w:iCs/>
        </w:rPr>
        <w:t>Orozco v. Garland</w:t>
      </w:r>
      <w:r w:rsidR="003F25A6">
        <w:t xml:space="preserve">, 60 F.4th 684 (D.C. Cir. 2023) (holding that </w:t>
      </w:r>
      <w:r w:rsidR="00882C0A">
        <w:t xml:space="preserve">although </w:t>
      </w:r>
      <w:r w:rsidR="009C55F2">
        <w:t>Section 508 of the Rehabilitation Act</w:t>
      </w:r>
      <w:r w:rsidR="00991B3F">
        <w:t xml:space="preserve"> – addressing inaccessible technology – incorporated the </w:t>
      </w:r>
      <w:r w:rsidR="004828CB">
        <w:t>remedies set forth in Section 505(a)(2)</w:t>
      </w:r>
      <w:r w:rsidR="00882C0A">
        <w:t>, it</w:t>
      </w:r>
      <w:r w:rsidR="004828CB">
        <w:t xml:space="preserve"> did not </w:t>
      </w:r>
      <w:r w:rsidR="001C1304">
        <w:t xml:space="preserve">import the latter statute’s limitations to suits against </w:t>
      </w:r>
      <w:r w:rsidR="00882C0A">
        <w:t>recipients or providers of federal funding</w:t>
      </w:r>
      <w:r w:rsidR="00E3740D">
        <w:t>; rather, the broader rights defined in Section 508 controlled</w:t>
      </w:r>
      <w:r w:rsidR="00882C0A">
        <w:t xml:space="preserve">). </w:t>
      </w:r>
    </w:p>
  </w:footnote>
  <w:footnote w:id="176">
    <w:p w14:paraId="20E9762F" w14:textId="326FFA12" w:rsidR="005838F0" w:rsidRDefault="005838F0" w:rsidP="005838F0">
      <w:pPr>
        <w:pStyle w:val="FootnoteText"/>
      </w:pPr>
      <w:r>
        <w:rPr>
          <w:rStyle w:val="FootnoteReference"/>
        </w:rPr>
        <w:footnoteRef/>
      </w:r>
      <w:r>
        <w:t xml:space="preserve"> 42 U.S.C. § 12203(a). </w:t>
      </w:r>
    </w:p>
  </w:footnote>
  <w:footnote w:id="177">
    <w:p w14:paraId="37679AE7" w14:textId="77777777" w:rsidR="005838F0" w:rsidRPr="002E023B" w:rsidRDefault="005838F0" w:rsidP="005838F0">
      <w:pPr>
        <w:pStyle w:val="FootnoteText"/>
      </w:pPr>
      <w:r>
        <w:rPr>
          <w:rStyle w:val="FootnoteReference"/>
        </w:rPr>
        <w:footnoteRef/>
      </w:r>
      <w:r>
        <w:t xml:space="preserve"> </w:t>
      </w:r>
      <w:r>
        <w:rPr>
          <w:i/>
          <w:iCs/>
        </w:rPr>
        <w:t>Id.</w:t>
      </w:r>
      <w:r>
        <w:t xml:space="preserve"> § 12203(c). </w:t>
      </w:r>
    </w:p>
  </w:footnote>
  <w:footnote w:id="178">
    <w:p w14:paraId="1CAE61BE" w14:textId="77777777" w:rsidR="005838F0" w:rsidRDefault="005838F0" w:rsidP="005838F0">
      <w:pPr>
        <w:pStyle w:val="FootnoteText"/>
      </w:pPr>
      <w:r>
        <w:rPr>
          <w:rStyle w:val="FootnoteReference"/>
        </w:rPr>
        <w:footnoteRef/>
      </w:r>
      <w:r>
        <w:t xml:space="preserve"> </w:t>
      </w:r>
      <w:proofErr w:type="spellStart"/>
      <w:r w:rsidRPr="002E023B">
        <w:rPr>
          <w:i/>
          <w:iCs/>
        </w:rPr>
        <w:t>Shotz</w:t>
      </w:r>
      <w:proofErr w:type="spellEnd"/>
      <w:r>
        <w:t>, 344 F.3d at 1169.</w:t>
      </w:r>
    </w:p>
  </w:footnote>
  <w:footnote w:id="179">
    <w:p w14:paraId="68E876FC" w14:textId="77777777" w:rsidR="005838F0" w:rsidRPr="002E023B" w:rsidRDefault="005838F0" w:rsidP="005838F0">
      <w:pPr>
        <w:pStyle w:val="FootnoteText"/>
      </w:pPr>
      <w:r>
        <w:rPr>
          <w:rStyle w:val="FootnoteReference"/>
        </w:rPr>
        <w:footnoteRef/>
      </w:r>
      <w:r>
        <w:t xml:space="preserve"> </w:t>
      </w:r>
      <w:r>
        <w:rPr>
          <w:i/>
          <w:iCs/>
        </w:rPr>
        <w:t>Id.</w:t>
      </w:r>
      <w:r>
        <w:t xml:space="preserve"> at 1171. </w:t>
      </w:r>
    </w:p>
  </w:footnote>
  <w:footnote w:id="180">
    <w:p w14:paraId="39298DE5" w14:textId="77777777" w:rsidR="005838F0" w:rsidRPr="002E023B" w:rsidRDefault="005838F0" w:rsidP="005838F0">
      <w:pPr>
        <w:pStyle w:val="FootnoteText"/>
      </w:pPr>
      <w:r>
        <w:rPr>
          <w:rStyle w:val="FootnoteReference"/>
        </w:rPr>
        <w:footnoteRef/>
      </w:r>
      <w:r>
        <w:t xml:space="preserve"> </w:t>
      </w:r>
      <w:r>
        <w:rPr>
          <w:i/>
          <w:iCs/>
        </w:rPr>
        <w:t>Id.</w:t>
      </w:r>
      <w:r>
        <w:t xml:space="preserve"> at 1174. </w:t>
      </w:r>
    </w:p>
  </w:footnote>
  <w:footnote w:id="181">
    <w:p w14:paraId="0A3556B2" w14:textId="77777777" w:rsidR="005838F0" w:rsidRPr="006E58F8" w:rsidRDefault="005838F0" w:rsidP="005838F0">
      <w:pPr>
        <w:pStyle w:val="FootnoteText"/>
      </w:pPr>
      <w:r>
        <w:rPr>
          <w:rStyle w:val="FootnoteReference"/>
        </w:rPr>
        <w:footnoteRef/>
      </w:r>
      <w:r>
        <w:t xml:space="preserve"> </w:t>
      </w:r>
      <w:r>
        <w:rPr>
          <w:i/>
          <w:iCs/>
        </w:rPr>
        <w:t>Id.</w:t>
      </w:r>
      <w:r>
        <w:t xml:space="preserve"> </w:t>
      </w:r>
    </w:p>
  </w:footnote>
  <w:footnote w:id="182">
    <w:p w14:paraId="1CFD8CA0" w14:textId="075B6806" w:rsidR="000B73E3" w:rsidRPr="007A2423" w:rsidRDefault="000B73E3">
      <w:pPr>
        <w:pStyle w:val="FootnoteText"/>
      </w:pPr>
      <w:r>
        <w:rPr>
          <w:rStyle w:val="FootnoteReference"/>
        </w:rPr>
        <w:footnoteRef/>
      </w:r>
      <w:r>
        <w:t xml:space="preserve"> </w:t>
      </w:r>
      <w:r>
        <w:rPr>
          <w:i/>
          <w:iCs/>
        </w:rPr>
        <w:t>Frame</w:t>
      </w:r>
      <w:r>
        <w:t>, 657 F.3d at 225</w:t>
      </w:r>
      <w:r w:rsidR="007A2423">
        <w:t xml:space="preserve">. </w:t>
      </w:r>
      <w:r w:rsidR="007A2423">
        <w:rPr>
          <w:i/>
          <w:iCs/>
        </w:rPr>
        <w:t>See</w:t>
      </w:r>
      <w:r w:rsidR="004B40F0">
        <w:rPr>
          <w:i/>
          <w:iCs/>
        </w:rPr>
        <w:t xml:space="preserve"> supra</w:t>
      </w:r>
      <w:r w:rsidR="007A2423">
        <w:t xml:space="preserve"> Section </w:t>
      </w:r>
      <w:r w:rsidR="004B40F0">
        <w:t>V.A.</w:t>
      </w:r>
    </w:p>
  </w:footnote>
  <w:footnote w:id="183">
    <w:p w14:paraId="3D139D01" w14:textId="5359B1E6" w:rsidR="00BA6F3D" w:rsidRPr="00BA6F3D" w:rsidRDefault="00BA6F3D">
      <w:pPr>
        <w:pStyle w:val="FootnoteText"/>
      </w:pPr>
      <w:r>
        <w:rPr>
          <w:rStyle w:val="FootnoteReference"/>
        </w:rPr>
        <w:footnoteRef/>
      </w:r>
      <w:r>
        <w:t xml:space="preserve"> </w:t>
      </w:r>
      <w:r>
        <w:rPr>
          <w:i/>
          <w:iCs/>
        </w:rPr>
        <w:t>Id.</w:t>
      </w:r>
      <w:r>
        <w:t xml:space="preserve"> at 240. </w:t>
      </w:r>
    </w:p>
  </w:footnote>
  <w:footnote w:id="184">
    <w:p w14:paraId="38C9E9C2" w14:textId="652D0301" w:rsidR="00C16FC1" w:rsidRDefault="00C16FC1">
      <w:pPr>
        <w:pStyle w:val="FootnoteText"/>
      </w:pPr>
      <w:r>
        <w:rPr>
          <w:rStyle w:val="FootnoteReference"/>
        </w:rPr>
        <w:footnoteRef/>
      </w:r>
      <w:r>
        <w:t xml:space="preserve"> </w:t>
      </w:r>
      <w:r w:rsidRPr="00C16FC1">
        <w:rPr>
          <w:i/>
          <w:iCs/>
        </w:rPr>
        <w:t>Payan</w:t>
      </w:r>
      <w:r>
        <w:t xml:space="preserve">, 11 F.4th at 735. </w:t>
      </w:r>
    </w:p>
  </w:footnote>
  <w:footnote w:id="185">
    <w:p w14:paraId="6D3C12D6" w14:textId="7099582A" w:rsidR="0067075A" w:rsidRPr="0067075A" w:rsidRDefault="0067075A">
      <w:pPr>
        <w:pStyle w:val="FootnoteText"/>
      </w:pPr>
      <w:r>
        <w:rPr>
          <w:rStyle w:val="FootnoteReference"/>
        </w:rPr>
        <w:footnoteRef/>
      </w:r>
      <w:r>
        <w:t xml:space="preserve"> </w:t>
      </w:r>
      <w:r>
        <w:rPr>
          <w:i/>
          <w:iCs/>
        </w:rPr>
        <w:t>Id.</w:t>
      </w:r>
      <w:r>
        <w:t xml:space="preserve"> </w:t>
      </w:r>
    </w:p>
  </w:footnote>
  <w:footnote w:id="186">
    <w:p w14:paraId="14A070BB" w14:textId="5051507F" w:rsidR="00272D2F" w:rsidRPr="00272D2F" w:rsidRDefault="00272D2F">
      <w:pPr>
        <w:pStyle w:val="FootnoteText"/>
      </w:pPr>
      <w:r>
        <w:rPr>
          <w:rStyle w:val="FootnoteReference"/>
        </w:rPr>
        <w:footnoteRef/>
      </w:r>
      <w:r>
        <w:t xml:space="preserve"> </w:t>
      </w:r>
      <w:r>
        <w:rPr>
          <w:i/>
          <w:iCs/>
        </w:rPr>
        <w:t>Id.</w:t>
      </w:r>
      <w:r>
        <w:t xml:space="preserve"> at 736-37.</w:t>
      </w:r>
      <w:r w:rsidR="00071411">
        <w:t xml:space="preserve"> </w:t>
      </w:r>
    </w:p>
  </w:footnote>
  <w:footnote w:id="187">
    <w:p w14:paraId="368E330C" w14:textId="4F77FD71" w:rsidR="00800E8D" w:rsidRPr="00AD7B9C" w:rsidRDefault="00800E8D">
      <w:pPr>
        <w:pStyle w:val="FootnoteText"/>
      </w:pPr>
      <w:r>
        <w:rPr>
          <w:rStyle w:val="FootnoteReference"/>
        </w:rPr>
        <w:footnoteRef/>
      </w:r>
      <w:r>
        <w:t xml:space="preserve"> </w:t>
      </w:r>
      <w:r>
        <w:rPr>
          <w:i/>
          <w:iCs/>
        </w:rPr>
        <w:t>Id.</w:t>
      </w:r>
      <w:r>
        <w:t xml:space="preserve"> at 737</w:t>
      </w:r>
      <w:r w:rsidR="00C65400">
        <w:t xml:space="preserve">. </w:t>
      </w:r>
      <w:r w:rsidR="00C65400">
        <w:rPr>
          <w:i/>
          <w:iCs/>
        </w:rPr>
        <w:t>See also</w:t>
      </w:r>
      <w:r w:rsidR="00AD7B9C">
        <w:rPr>
          <w:i/>
          <w:iCs/>
        </w:rPr>
        <w:t>, e.g.</w:t>
      </w:r>
      <w:r w:rsidR="00AD7B9C">
        <w:t xml:space="preserve">, </w:t>
      </w:r>
      <w:r w:rsidR="00AD7B9C">
        <w:rPr>
          <w:i/>
          <w:iCs/>
        </w:rPr>
        <w:t>Chaffin</w:t>
      </w:r>
      <w:r w:rsidR="00221A66">
        <w:t xml:space="preserve">, </w:t>
      </w:r>
      <w:r w:rsidR="00C44815">
        <w:t xml:space="preserve">348 F.3d at 858-59 (holding that there is a private right of action </w:t>
      </w:r>
      <w:r w:rsidR="002F2FCB">
        <w:t xml:space="preserve">under </w:t>
      </w:r>
      <w:r w:rsidR="00C44815">
        <w:t>Section 12132</w:t>
      </w:r>
      <w:r w:rsidR="002F2FCB">
        <w:t xml:space="preserve"> to challenge architectural barriers that violate implementing regulations)</w:t>
      </w:r>
      <w:r w:rsidR="00AD7B9C">
        <w:t xml:space="preserve">; </w:t>
      </w:r>
      <w:r w:rsidR="00AD7B9C">
        <w:rPr>
          <w:i/>
          <w:iCs/>
        </w:rPr>
        <w:t>cf.</w:t>
      </w:r>
      <w:r w:rsidR="00AD7B9C">
        <w:t xml:space="preserve"> </w:t>
      </w:r>
      <w:r w:rsidR="00AD7B9C" w:rsidRPr="00F8580C">
        <w:rPr>
          <w:i/>
          <w:iCs/>
        </w:rPr>
        <w:t>Woods v. Centro of Oneida, Inc</w:t>
      </w:r>
      <w:r w:rsidR="00AD7B9C">
        <w:t>., 103 F.4th 933, 945 (2d Cir. 2024) (holding that there was a private right of action to enforce 49 C.F.R. 37.5(</w:t>
      </w:r>
      <w:proofErr w:type="spellStart"/>
      <w:r w:rsidR="00AD7B9C">
        <w:t>i</w:t>
      </w:r>
      <w:proofErr w:type="spellEnd"/>
      <w:r w:rsidR="00AD7B9C">
        <w:t xml:space="preserve">)(b), a regulation implementing </w:t>
      </w:r>
      <w:r w:rsidR="00A655E8">
        <w:t xml:space="preserve">the transportation specific </w:t>
      </w:r>
      <w:r w:rsidR="00223FEE">
        <w:t xml:space="preserve">provisions of Title II, 42 U.S.C. §§ 12141 – 12165, </w:t>
      </w:r>
      <w:r w:rsidR="00AD7B9C">
        <w:t xml:space="preserve">and requiring reasonable modifications to policies, despite the fact that the language of </w:t>
      </w:r>
      <w:r w:rsidR="00223FEE">
        <w:t>those</w:t>
      </w:r>
      <w:r w:rsidR="00AD7B9C">
        <w:t xml:space="preserve"> portion</w:t>
      </w:r>
      <w:r w:rsidR="00223FEE">
        <w:t>s</w:t>
      </w:r>
      <w:r w:rsidR="00AD7B9C">
        <w:t xml:space="preserve"> of Title II did not contain language </w:t>
      </w:r>
      <w:r w:rsidR="004B4AE7">
        <w:t xml:space="preserve">requiring such modifications). </w:t>
      </w:r>
    </w:p>
  </w:footnote>
  <w:footnote w:id="188">
    <w:p w14:paraId="2E9A0E7C" w14:textId="7A2BA8F2" w:rsidR="002D2D82" w:rsidRPr="002D2D82" w:rsidRDefault="002D2D82">
      <w:pPr>
        <w:pStyle w:val="FootnoteText"/>
      </w:pPr>
      <w:r>
        <w:rPr>
          <w:rStyle w:val="FootnoteReference"/>
        </w:rPr>
        <w:footnoteRef/>
      </w:r>
      <w:r>
        <w:t xml:space="preserve"> </w:t>
      </w:r>
      <w:r>
        <w:rPr>
          <w:i/>
          <w:iCs/>
        </w:rPr>
        <w:t>See, e.g.</w:t>
      </w:r>
      <w:r>
        <w:t xml:space="preserve">, </w:t>
      </w:r>
      <w:r>
        <w:rPr>
          <w:i/>
          <w:iCs/>
        </w:rPr>
        <w:t>Cummings</w:t>
      </w:r>
      <w:r w:rsidR="00DA1773">
        <w:t xml:space="preserve">, </w:t>
      </w:r>
      <w:r w:rsidR="00DA1773" w:rsidRPr="00851A7A">
        <w:t>596 U.S.</w:t>
      </w:r>
      <w:r w:rsidR="00071411">
        <w:t xml:space="preserve"> </w:t>
      </w:r>
      <w:r>
        <w:t xml:space="preserve">at </w:t>
      </w:r>
      <w:r w:rsidR="00E17A9F">
        <w:t>218.</w:t>
      </w:r>
    </w:p>
  </w:footnote>
  <w:footnote w:id="189">
    <w:p w14:paraId="11344C80" w14:textId="14856D4B" w:rsidR="00A5687B" w:rsidRPr="000141E8" w:rsidRDefault="00A5687B">
      <w:pPr>
        <w:pStyle w:val="FootnoteText"/>
      </w:pPr>
      <w:r>
        <w:rPr>
          <w:rStyle w:val="FootnoteReference"/>
        </w:rPr>
        <w:footnoteRef/>
      </w:r>
      <w:r>
        <w:t xml:space="preserve"> </w:t>
      </w:r>
      <w:r w:rsidR="000141E8">
        <w:rPr>
          <w:i/>
          <w:iCs/>
        </w:rPr>
        <w:t>Reinhart</w:t>
      </w:r>
      <w:r w:rsidR="000141E8">
        <w:t xml:space="preserve">, </w:t>
      </w:r>
      <w:r w:rsidR="00FF3723" w:rsidRPr="00FF3723">
        <w:t>2025 WL 2426820</w:t>
      </w:r>
      <w:r w:rsidR="006F3A60">
        <w:t>, at *4</w:t>
      </w:r>
      <w:r w:rsidR="00D3457A">
        <w:t xml:space="preserve"> (citing </w:t>
      </w:r>
      <w:r w:rsidR="00D3457A" w:rsidRPr="00D3457A">
        <w:rPr>
          <w:i/>
          <w:iCs/>
        </w:rPr>
        <w:t>Anderson v. City of Blue Ash</w:t>
      </w:r>
      <w:r w:rsidR="00D3457A" w:rsidRPr="00D3457A">
        <w:t>, 798 F.3d 338, 357 (6th Cir. 2015)</w:t>
      </w:r>
      <w:r w:rsidR="00D3457A">
        <w:t>)</w:t>
      </w:r>
      <w:r w:rsidR="006F3A60">
        <w:t xml:space="preserve">. </w:t>
      </w:r>
    </w:p>
  </w:footnote>
  <w:footnote w:id="190">
    <w:p w14:paraId="678C3D41" w14:textId="521C4FB7" w:rsidR="00A170EA" w:rsidRPr="00A170EA" w:rsidRDefault="00A170EA">
      <w:pPr>
        <w:pStyle w:val="FootnoteText"/>
      </w:pPr>
      <w:r>
        <w:rPr>
          <w:rStyle w:val="FootnoteReference"/>
        </w:rPr>
        <w:footnoteRef/>
      </w:r>
      <w:r>
        <w:t xml:space="preserve"> </w:t>
      </w:r>
      <w:r>
        <w:rPr>
          <w:i/>
          <w:iCs/>
        </w:rPr>
        <w:t>Id.</w:t>
      </w:r>
      <w:r>
        <w:t xml:space="preserve"> </w:t>
      </w:r>
    </w:p>
  </w:footnote>
  <w:footnote w:id="191">
    <w:p w14:paraId="088DD066" w14:textId="70729F3A" w:rsidR="00F833B9" w:rsidRDefault="00F833B9" w:rsidP="00F833B9">
      <w:pPr>
        <w:pStyle w:val="FootnoteText"/>
      </w:pPr>
      <w:r>
        <w:rPr>
          <w:rStyle w:val="FootnoteReference"/>
        </w:rPr>
        <w:footnoteRef/>
      </w:r>
      <w:r>
        <w:t xml:space="preserve"> </w:t>
      </w:r>
      <w:r w:rsidRPr="00F833B9">
        <w:rPr>
          <w:i/>
          <w:iCs/>
        </w:rPr>
        <w:t>S.H. ex rel. Durrell v. Lower Merion Sch. Dist</w:t>
      </w:r>
      <w:r>
        <w:t xml:space="preserve">., 729 F.3d 248, 262 (3d Cir. 2013) (collecting cases). </w:t>
      </w:r>
    </w:p>
  </w:footnote>
  <w:footnote w:id="192">
    <w:p w14:paraId="14F0DD78" w14:textId="17822A70" w:rsidR="006B2824" w:rsidRDefault="006B2824">
      <w:pPr>
        <w:pStyle w:val="FootnoteText"/>
      </w:pPr>
      <w:r>
        <w:rPr>
          <w:rStyle w:val="FootnoteReference"/>
        </w:rPr>
        <w:footnoteRef/>
      </w:r>
      <w:r>
        <w:t xml:space="preserve"> </w:t>
      </w:r>
      <w:r w:rsidRPr="006B2824">
        <w:rPr>
          <w:i/>
          <w:iCs/>
        </w:rPr>
        <w:t xml:space="preserve">Duvall v. </w:t>
      </w:r>
      <w:proofErr w:type="spellStart"/>
      <w:r w:rsidRPr="006B2824">
        <w:rPr>
          <w:i/>
          <w:iCs/>
        </w:rPr>
        <w:t>Cnty</w:t>
      </w:r>
      <w:proofErr w:type="spellEnd"/>
      <w:r w:rsidRPr="006B2824">
        <w:rPr>
          <w:i/>
          <w:iCs/>
        </w:rPr>
        <w:t>. of Kitsap</w:t>
      </w:r>
      <w:r w:rsidRPr="006B2824">
        <w:t xml:space="preserve">, 260 F.3d 1124, 1139 (9th Cir. 2001), </w:t>
      </w:r>
      <w:r w:rsidRPr="006B2824">
        <w:rPr>
          <w:i/>
          <w:iCs/>
        </w:rPr>
        <w:t>as amended on denial of reh'g</w:t>
      </w:r>
      <w:r w:rsidRPr="006B2824">
        <w:t xml:space="preserve"> (Oct. 11, 2001)</w:t>
      </w:r>
      <w:r>
        <w:t xml:space="preserve">. </w:t>
      </w:r>
    </w:p>
  </w:footnote>
  <w:footnote w:id="193">
    <w:p w14:paraId="4B8A45F7" w14:textId="42D0A8A2" w:rsidR="000D1768" w:rsidRPr="000D1768" w:rsidRDefault="000D1768">
      <w:pPr>
        <w:pStyle w:val="FootnoteText"/>
      </w:pPr>
      <w:r>
        <w:rPr>
          <w:rStyle w:val="FootnoteReference"/>
        </w:rPr>
        <w:footnoteRef/>
      </w:r>
      <w:r>
        <w:t xml:space="preserve"> </w:t>
      </w:r>
      <w:r>
        <w:rPr>
          <w:i/>
          <w:iCs/>
        </w:rPr>
        <w:t>S.H. ex rel. Durrell</w:t>
      </w:r>
      <w:r>
        <w:t>, 729 F.3d at 262-65.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76B8B"/>
    <w:multiLevelType w:val="hybridMultilevel"/>
    <w:tmpl w:val="FBE4EF62"/>
    <w:lvl w:ilvl="0" w:tplc="68526E8A">
      <w:start w:val="1"/>
      <w:numFmt w:val="decimal"/>
      <w:pStyle w:val="Heading3"/>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F445AC9"/>
    <w:multiLevelType w:val="hybridMultilevel"/>
    <w:tmpl w:val="54E076C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8795B4D"/>
    <w:multiLevelType w:val="hybridMultilevel"/>
    <w:tmpl w:val="B06EE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123967"/>
    <w:multiLevelType w:val="hybridMultilevel"/>
    <w:tmpl w:val="446A285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AAE7384"/>
    <w:multiLevelType w:val="hybridMultilevel"/>
    <w:tmpl w:val="E188C9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E9D51CA"/>
    <w:multiLevelType w:val="hybridMultilevel"/>
    <w:tmpl w:val="B53A21CA"/>
    <w:lvl w:ilvl="0" w:tplc="A0E62E4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7B4184"/>
    <w:multiLevelType w:val="hybridMultilevel"/>
    <w:tmpl w:val="BF02277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CDE7146"/>
    <w:multiLevelType w:val="hybridMultilevel"/>
    <w:tmpl w:val="9D9E28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D3B6AAC"/>
    <w:multiLevelType w:val="hybridMultilevel"/>
    <w:tmpl w:val="6DA01870"/>
    <w:lvl w:ilvl="0" w:tplc="EF726DDE">
      <w:start w:val="1"/>
      <w:numFmt w:val="upperRoman"/>
      <w:pStyle w:val="Heading1"/>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D61CFA"/>
    <w:multiLevelType w:val="hybridMultilevel"/>
    <w:tmpl w:val="03008E16"/>
    <w:lvl w:ilvl="0" w:tplc="B3BA5A72">
      <w:start w:val="1"/>
      <w:numFmt w:val="upperLetter"/>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2207C0"/>
    <w:multiLevelType w:val="hybridMultilevel"/>
    <w:tmpl w:val="03703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4592469">
    <w:abstractNumId w:val="10"/>
  </w:num>
  <w:num w:numId="2" w16cid:durableId="1570505772">
    <w:abstractNumId w:val="2"/>
  </w:num>
  <w:num w:numId="3" w16cid:durableId="1795440325">
    <w:abstractNumId w:val="4"/>
  </w:num>
  <w:num w:numId="4" w16cid:durableId="867258850">
    <w:abstractNumId w:val="1"/>
  </w:num>
  <w:num w:numId="5" w16cid:durableId="1437553237">
    <w:abstractNumId w:val="8"/>
  </w:num>
  <w:num w:numId="6" w16cid:durableId="553010736">
    <w:abstractNumId w:val="9"/>
  </w:num>
  <w:num w:numId="7" w16cid:durableId="659502712">
    <w:abstractNumId w:val="6"/>
  </w:num>
  <w:num w:numId="8" w16cid:durableId="1690448659">
    <w:abstractNumId w:val="3"/>
  </w:num>
  <w:num w:numId="9" w16cid:durableId="1744838430">
    <w:abstractNumId w:val="9"/>
    <w:lvlOverride w:ilvl="0">
      <w:startOverride w:val="1"/>
    </w:lvlOverride>
  </w:num>
  <w:num w:numId="10" w16cid:durableId="779032790">
    <w:abstractNumId w:val="9"/>
    <w:lvlOverride w:ilvl="0">
      <w:startOverride w:val="1"/>
    </w:lvlOverride>
  </w:num>
  <w:num w:numId="11" w16cid:durableId="1572738476">
    <w:abstractNumId w:val="9"/>
    <w:lvlOverride w:ilvl="0">
      <w:startOverride w:val="1"/>
    </w:lvlOverride>
  </w:num>
  <w:num w:numId="12" w16cid:durableId="122846139">
    <w:abstractNumId w:val="0"/>
  </w:num>
  <w:num w:numId="13" w16cid:durableId="564875914">
    <w:abstractNumId w:val="9"/>
    <w:lvlOverride w:ilvl="0">
      <w:startOverride w:val="1"/>
    </w:lvlOverride>
  </w:num>
  <w:num w:numId="14" w16cid:durableId="49620224">
    <w:abstractNumId w:val="0"/>
    <w:lvlOverride w:ilvl="0">
      <w:startOverride w:val="1"/>
    </w:lvlOverride>
  </w:num>
  <w:num w:numId="15" w16cid:durableId="1065178573">
    <w:abstractNumId w:val="9"/>
    <w:lvlOverride w:ilvl="0">
      <w:startOverride w:val="1"/>
    </w:lvlOverride>
  </w:num>
  <w:num w:numId="16" w16cid:durableId="1076442841">
    <w:abstractNumId w:val="7"/>
  </w:num>
  <w:num w:numId="17" w16cid:durableId="310136678">
    <w:abstractNumId w:val="9"/>
  </w:num>
  <w:num w:numId="18" w16cid:durableId="1402603636">
    <w:abstractNumId w:val="9"/>
    <w:lvlOverride w:ilvl="0">
      <w:startOverride w:val="1"/>
    </w:lvlOverride>
  </w:num>
  <w:num w:numId="19" w16cid:durableId="278688136">
    <w:abstractNumId w:val="9"/>
    <w:lvlOverride w:ilvl="0">
      <w:startOverride w:val="1"/>
    </w:lvlOverride>
  </w:num>
  <w:num w:numId="20" w16cid:durableId="1423140862">
    <w:abstractNumId w:val="0"/>
    <w:lvlOverride w:ilvl="0">
      <w:startOverride w:val="1"/>
    </w:lvlOverride>
  </w:num>
  <w:num w:numId="21" w16cid:durableId="10594007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663"/>
    <w:rsid w:val="000016C3"/>
    <w:rsid w:val="00003D41"/>
    <w:rsid w:val="00004405"/>
    <w:rsid w:val="00005ABA"/>
    <w:rsid w:val="0000607B"/>
    <w:rsid w:val="00007FDF"/>
    <w:rsid w:val="0001191D"/>
    <w:rsid w:val="00011C36"/>
    <w:rsid w:val="00012DF6"/>
    <w:rsid w:val="00012F19"/>
    <w:rsid w:val="000139F2"/>
    <w:rsid w:val="00013BA7"/>
    <w:rsid w:val="000141E8"/>
    <w:rsid w:val="00014699"/>
    <w:rsid w:val="00014988"/>
    <w:rsid w:val="0001546F"/>
    <w:rsid w:val="00016DB4"/>
    <w:rsid w:val="000171C2"/>
    <w:rsid w:val="000203D2"/>
    <w:rsid w:val="000209C0"/>
    <w:rsid w:val="00021FF0"/>
    <w:rsid w:val="00022789"/>
    <w:rsid w:val="00022B4B"/>
    <w:rsid w:val="00023A1D"/>
    <w:rsid w:val="00023FA9"/>
    <w:rsid w:val="00024822"/>
    <w:rsid w:val="00024CE2"/>
    <w:rsid w:val="00025497"/>
    <w:rsid w:val="000255CB"/>
    <w:rsid w:val="0002652E"/>
    <w:rsid w:val="0002712F"/>
    <w:rsid w:val="00027882"/>
    <w:rsid w:val="0003014E"/>
    <w:rsid w:val="000315B8"/>
    <w:rsid w:val="00031745"/>
    <w:rsid w:val="00031921"/>
    <w:rsid w:val="0003274C"/>
    <w:rsid w:val="00033244"/>
    <w:rsid w:val="00033DB7"/>
    <w:rsid w:val="000343AD"/>
    <w:rsid w:val="0003506D"/>
    <w:rsid w:val="00035B43"/>
    <w:rsid w:val="00036079"/>
    <w:rsid w:val="00037102"/>
    <w:rsid w:val="0003724C"/>
    <w:rsid w:val="00040532"/>
    <w:rsid w:val="00040916"/>
    <w:rsid w:val="00040AA1"/>
    <w:rsid w:val="000412E5"/>
    <w:rsid w:val="000418B7"/>
    <w:rsid w:val="00041ED5"/>
    <w:rsid w:val="00042AE1"/>
    <w:rsid w:val="00042FED"/>
    <w:rsid w:val="00043A2F"/>
    <w:rsid w:val="00045689"/>
    <w:rsid w:val="00045E37"/>
    <w:rsid w:val="00047028"/>
    <w:rsid w:val="00051514"/>
    <w:rsid w:val="0005269F"/>
    <w:rsid w:val="000526AB"/>
    <w:rsid w:val="000529F9"/>
    <w:rsid w:val="00052B38"/>
    <w:rsid w:val="00053031"/>
    <w:rsid w:val="0005344A"/>
    <w:rsid w:val="000538B2"/>
    <w:rsid w:val="00054B71"/>
    <w:rsid w:val="00054F24"/>
    <w:rsid w:val="000555AE"/>
    <w:rsid w:val="000559FB"/>
    <w:rsid w:val="00056033"/>
    <w:rsid w:val="00056ADB"/>
    <w:rsid w:val="00057188"/>
    <w:rsid w:val="00057280"/>
    <w:rsid w:val="00057591"/>
    <w:rsid w:val="0005770A"/>
    <w:rsid w:val="00060A17"/>
    <w:rsid w:val="00061C3F"/>
    <w:rsid w:val="00063D89"/>
    <w:rsid w:val="00063DBC"/>
    <w:rsid w:val="0006424E"/>
    <w:rsid w:val="0006450D"/>
    <w:rsid w:val="00066893"/>
    <w:rsid w:val="00066F2F"/>
    <w:rsid w:val="0007004A"/>
    <w:rsid w:val="0007103D"/>
    <w:rsid w:val="00071411"/>
    <w:rsid w:val="00071742"/>
    <w:rsid w:val="0007202B"/>
    <w:rsid w:val="00073F4A"/>
    <w:rsid w:val="000746E9"/>
    <w:rsid w:val="00074744"/>
    <w:rsid w:val="000760EA"/>
    <w:rsid w:val="00076586"/>
    <w:rsid w:val="00077501"/>
    <w:rsid w:val="0007797E"/>
    <w:rsid w:val="000818B8"/>
    <w:rsid w:val="00082348"/>
    <w:rsid w:val="0008260B"/>
    <w:rsid w:val="0008292E"/>
    <w:rsid w:val="000843B1"/>
    <w:rsid w:val="000843B2"/>
    <w:rsid w:val="000844DB"/>
    <w:rsid w:val="00084E9A"/>
    <w:rsid w:val="00086C7B"/>
    <w:rsid w:val="00091C58"/>
    <w:rsid w:val="00094A42"/>
    <w:rsid w:val="00094A75"/>
    <w:rsid w:val="00097818"/>
    <w:rsid w:val="000A069A"/>
    <w:rsid w:val="000A0CB2"/>
    <w:rsid w:val="000A0D83"/>
    <w:rsid w:val="000A13AD"/>
    <w:rsid w:val="000A143B"/>
    <w:rsid w:val="000A1835"/>
    <w:rsid w:val="000A1875"/>
    <w:rsid w:val="000A2797"/>
    <w:rsid w:val="000A3946"/>
    <w:rsid w:val="000A4847"/>
    <w:rsid w:val="000A4FE6"/>
    <w:rsid w:val="000A54F8"/>
    <w:rsid w:val="000A5ACC"/>
    <w:rsid w:val="000A65D2"/>
    <w:rsid w:val="000A6AAB"/>
    <w:rsid w:val="000A6E2B"/>
    <w:rsid w:val="000A7089"/>
    <w:rsid w:val="000A7156"/>
    <w:rsid w:val="000A72F5"/>
    <w:rsid w:val="000B149A"/>
    <w:rsid w:val="000B18E4"/>
    <w:rsid w:val="000B1EB2"/>
    <w:rsid w:val="000B2FD5"/>
    <w:rsid w:val="000B3CA8"/>
    <w:rsid w:val="000B5737"/>
    <w:rsid w:val="000B611B"/>
    <w:rsid w:val="000B695D"/>
    <w:rsid w:val="000B6DA1"/>
    <w:rsid w:val="000B73E3"/>
    <w:rsid w:val="000B741E"/>
    <w:rsid w:val="000C05D0"/>
    <w:rsid w:val="000C07BE"/>
    <w:rsid w:val="000C0939"/>
    <w:rsid w:val="000C0F8A"/>
    <w:rsid w:val="000C1F87"/>
    <w:rsid w:val="000C2943"/>
    <w:rsid w:val="000C2BC9"/>
    <w:rsid w:val="000C3E3F"/>
    <w:rsid w:val="000C47A7"/>
    <w:rsid w:val="000C4EE7"/>
    <w:rsid w:val="000C53E7"/>
    <w:rsid w:val="000C5D61"/>
    <w:rsid w:val="000C7131"/>
    <w:rsid w:val="000D084B"/>
    <w:rsid w:val="000D0B80"/>
    <w:rsid w:val="000D1768"/>
    <w:rsid w:val="000D3C16"/>
    <w:rsid w:val="000D4A11"/>
    <w:rsid w:val="000D5693"/>
    <w:rsid w:val="000D5AA5"/>
    <w:rsid w:val="000D5E1E"/>
    <w:rsid w:val="000D69C8"/>
    <w:rsid w:val="000E0A40"/>
    <w:rsid w:val="000E2395"/>
    <w:rsid w:val="000E2875"/>
    <w:rsid w:val="000E2A8F"/>
    <w:rsid w:val="000E2B97"/>
    <w:rsid w:val="000E2CAE"/>
    <w:rsid w:val="000E2D13"/>
    <w:rsid w:val="000E30C8"/>
    <w:rsid w:val="000E32A4"/>
    <w:rsid w:val="000E346A"/>
    <w:rsid w:val="000E3905"/>
    <w:rsid w:val="000E4C4C"/>
    <w:rsid w:val="000E502E"/>
    <w:rsid w:val="000E577A"/>
    <w:rsid w:val="000E5C59"/>
    <w:rsid w:val="000E6FA4"/>
    <w:rsid w:val="000E728A"/>
    <w:rsid w:val="000E746D"/>
    <w:rsid w:val="000F18C6"/>
    <w:rsid w:val="000F1BAA"/>
    <w:rsid w:val="000F2804"/>
    <w:rsid w:val="000F2CB8"/>
    <w:rsid w:val="000F2F83"/>
    <w:rsid w:val="000F38BD"/>
    <w:rsid w:val="000F3EA2"/>
    <w:rsid w:val="000F46C3"/>
    <w:rsid w:val="000F51C4"/>
    <w:rsid w:val="000F58C2"/>
    <w:rsid w:val="000F6651"/>
    <w:rsid w:val="000F70DB"/>
    <w:rsid w:val="000F7522"/>
    <w:rsid w:val="000F7945"/>
    <w:rsid w:val="00100946"/>
    <w:rsid w:val="00100E14"/>
    <w:rsid w:val="0010191E"/>
    <w:rsid w:val="00101BEE"/>
    <w:rsid w:val="00101E2F"/>
    <w:rsid w:val="0010254A"/>
    <w:rsid w:val="00103121"/>
    <w:rsid w:val="00103E90"/>
    <w:rsid w:val="00103EF9"/>
    <w:rsid w:val="001044EE"/>
    <w:rsid w:val="001046A5"/>
    <w:rsid w:val="00105795"/>
    <w:rsid w:val="001071B1"/>
    <w:rsid w:val="001075C0"/>
    <w:rsid w:val="00107660"/>
    <w:rsid w:val="001106EE"/>
    <w:rsid w:val="00112D44"/>
    <w:rsid w:val="00114059"/>
    <w:rsid w:val="0011443B"/>
    <w:rsid w:val="001144B7"/>
    <w:rsid w:val="0011453D"/>
    <w:rsid w:val="001146F6"/>
    <w:rsid w:val="00114F12"/>
    <w:rsid w:val="00115685"/>
    <w:rsid w:val="001159C9"/>
    <w:rsid w:val="00115D3B"/>
    <w:rsid w:val="00115D6C"/>
    <w:rsid w:val="00116E8A"/>
    <w:rsid w:val="0011799F"/>
    <w:rsid w:val="00117F37"/>
    <w:rsid w:val="0012048A"/>
    <w:rsid w:val="00120AF7"/>
    <w:rsid w:val="001212C3"/>
    <w:rsid w:val="001213B5"/>
    <w:rsid w:val="001227CD"/>
    <w:rsid w:val="00122B26"/>
    <w:rsid w:val="00122BA2"/>
    <w:rsid w:val="0012342F"/>
    <w:rsid w:val="00127AB6"/>
    <w:rsid w:val="001305F6"/>
    <w:rsid w:val="0013165E"/>
    <w:rsid w:val="00131903"/>
    <w:rsid w:val="0013214A"/>
    <w:rsid w:val="0013246B"/>
    <w:rsid w:val="00132D8E"/>
    <w:rsid w:val="0013448B"/>
    <w:rsid w:val="001347CA"/>
    <w:rsid w:val="00134FF7"/>
    <w:rsid w:val="001350E2"/>
    <w:rsid w:val="00135446"/>
    <w:rsid w:val="00135692"/>
    <w:rsid w:val="00136C03"/>
    <w:rsid w:val="00137C5E"/>
    <w:rsid w:val="001405C8"/>
    <w:rsid w:val="00140932"/>
    <w:rsid w:val="00140F43"/>
    <w:rsid w:val="00141134"/>
    <w:rsid w:val="0014119E"/>
    <w:rsid w:val="00141653"/>
    <w:rsid w:val="001419CC"/>
    <w:rsid w:val="00142389"/>
    <w:rsid w:val="001427C7"/>
    <w:rsid w:val="00142F06"/>
    <w:rsid w:val="00143280"/>
    <w:rsid w:val="001438C0"/>
    <w:rsid w:val="00143FDA"/>
    <w:rsid w:val="001442B3"/>
    <w:rsid w:val="00144623"/>
    <w:rsid w:val="001448E0"/>
    <w:rsid w:val="00147612"/>
    <w:rsid w:val="001500D7"/>
    <w:rsid w:val="001518DC"/>
    <w:rsid w:val="00151939"/>
    <w:rsid w:val="00152323"/>
    <w:rsid w:val="001541BE"/>
    <w:rsid w:val="0015464D"/>
    <w:rsid w:val="001549F8"/>
    <w:rsid w:val="0015588B"/>
    <w:rsid w:val="00156951"/>
    <w:rsid w:val="001605D6"/>
    <w:rsid w:val="00160873"/>
    <w:rsid w:val="00160987"/>
    <w:rsid w:val="00162CCF"/>
    <w:rsid w:val="00163439"/>
    <w:rsid w:val="001652FB"/>
    <w:rsid w:val="00165DAA"/>
    <w:rsid w:val="001676B3"/>
    <w:rsid w:val="00167761"/>
    <w:rsid w:val="00167F7E"/>
    <w:rsid w:val="0017038C"/>
    <w:rsid w:val="001720A4"/>
    <w:rsid w:val="00172792"/>
    <w:rsid w:val="00172BFC"/>
    <w:rsid w:val="00173937"/>
    <w:rsid w:val="0017464F"/>
    <w:rsid w:val="0017479D"/>
    <w:rsid w:val="00174E28"/>
    <w:rsid w:val="00174FD3"/>
    <w:rsid w:val="001752B6"/>
    <w:rsid w:val="00175870"/>
    <w:rsid w:val="00175C53"/>
    <w:rsid w:val="001761CD"/>
    <w:rsid w:val="00176CDC"/>
    <w:rsid w:val="001771C8"/>
    <w:rsid w:val="0017723E"/>
    <w:rsid w:val="001804A9"/>
    <w:rsid w:val="00180867"/>
    <w:rsid w:val="00182469"/>
    <w:rsid w:val="001827C1"/>
    <w:rsid w:val="0018282A"/>
    <w:rsid w:val="001832D4"/>
    <w:rsid w:val="00183341"/>
    <w:rsid w:val="00183E09"/>
    <w:rsid w:val="00184559"/>
    <w:rsid w:val="00184BAD"/>
    <w:rsid w:val="00184E1E"/>
    <w:rsid w:val="00185203"/>
    <w:rsid w:val="00185997"/>
    <w:rsid w:val="00185C22"/>
    <w:rsid w:val="0018605D"/>
    <w:rsid w:val="00190EB2"/>
    <w:rsid w:val="00194969"/>
    <w:rsid w:val="0019520A"/>
    <w:rsid w:val="001956C1"/>
    <w:rsid w:val="001960BD"/>
    <w:rsid w:val="00196F8F"/>
    <w:rsid w:val="00197A6B"/>
    <w:rsid w:val="001A09A3"/>
    <w:rsid w:val="001A0AAB"/>
    <w:rsid w:val="001A173D"/>
    <w:rsid w:val="001A4C0B"/>
    <w:rsid w:val="001A4EF0"/>
    <w:rsid w:val="001A5F61"/>
    <w:rsid w:val="001A73AF"/>
    <w:rsid w:val="001A7726"/>
    <w:rsid w:val="001A7AA6"/>
    <w:rsid w:val="001B0A82"/>
    <w:rsid w:val="001B106B"/>
    <w:rsid w:val="001B2E43"/>
    <w:rsid w:val="001B39D8"/>
    <w:rsid w:val="001B3B66"/>
    <w:rsid w:val="001B3F71"/>
    <w:rsid w:val="001B4439"/>
    <w:rsid w:val="001B473B"/>
    <w:rsid w:val="001B4E46"/>
    <w:rsid w:val="001B595F"/>
    <w:rsid w:val="001B5972"/>
    <w:rsid w:val="001B6A9D"/>
    <w:rsid w:val="001B7575"/>
    <w:rsid w:val="001B7C65"/>
    <w:rsid w:val="001C0BE8"/>
    <w:rsid w:val="001C1304"/>
    <w:rsid w:val="001C1772"/>
    <w:rsid w:val="001C2097"/>
    <w:rsid w:val="001C338B"/>
    <w:rsid w:val="001C375C"/>
    <w:rsid w:val="001C4807"/>
    <w:rsid w:val="001C55D5"/>
    <w:rsid w:val="001C7008"/>
    <w:rsid w:val="001D08B9"/>
    <w:rsid w:val="001D23D3"/>
    <w:rsid w:val="001D2CBC"/>
    <w:rsid w:val="001D3FC2"/>
    <w:rsid w:val="001D4268"/>
    <w:rsid w:val="001D5831"/>
    <w:rsid w:val="001D5CF3"/>
    <w:rsid w:val="001D63EA"/>
    <w:rsid w:val="001D747B"/>
    <w:rsid w:val="001D7CFC"/>
    <w:rsid w:val="001E0426"/>
    <w:rsid w:val="001E0E0E"/>
    <w:rsid w:val="001E0EB6"/>
    <w:rsid w:val="001E232D"/>
    <w:rsid w:val="001E3AEF"/>
    <w:rsid w:val="001E5141"/>
    <w:rsid w:val="001E72F5"/>
    <w:rsid w:val="001E7BEA"/>
    <w:rsid w:val="001F0745"/>
    <w:rsid w:val="001F079B"/>
    <w:rsid w:val="001F18C6"/>
    <w:rsid w:val="001F23F8"/>
    <w:rsid w:val="001F2B78"/>
    <w:rsid w:val="001F2FC4"/>
    <w:rsid w:val="001F3A22"/>
    <w:rsid w:val="001F3D38"/>
    <w:rsid w:val="001F3E7B"/>
    <w:rsid w:val="001F4C42"/>
    <w:rsid w:val="001F5302"/>
    <w:rsid w:val="001F535E"/>
    <w:rsid w:val="001F5575"/>
    <w:rsid w:val="001F6AE4"/>
    <w:rsid w:val="00200839"/>
    <w:rsid w:val="00200D4D"/>
    <w:rsid w:val="00201473"/>
    <w:rsid w:val="00201810"/>
    <w:rsid w:val="00201E9C"/>
    <w:rsid w:val="00202245"/>
    <w:rsid w:val="00203655"/>
    <w:rsid w:val="00206BBB"/>
    <w:rsid w:val="00207E56"/>
    <w:rsid w:val="002102C2"/>
    <w:rsid w:val="00211C59"/>
    <w:rsid w:val="00211F39"/>
    <w:rsid w:val="002128BE"/>
    <w:rsid w:val="00212C69"/>
    <w:rsid w:val="00212D16"/>
    <w:rsid w:val="00213992"/>
    <w:rsid w:val="00213CE3"/>
    <w:rsid w:val="00213D75"/>
    <w:rsid w:val="002142B3"/>
    <w:rsid w:val="00220529"/>
    <w:rsid w:val="00221A66"/>
    <w:rsid w:val="002221CB"/>
    <w:rsid w:val="00223FEE"/>
    <w:rsid w:val="0022404D"/>
    <w:rsid w:val="00224D14"/>
    <w:rsid w:val="00225181"/>
    <w:rsid w:val="002268CD"/>
    <w:rsid w:val="002272EE"/>
    <w:rsid w:val="002278CE"/>
    <w:rsid w:val="00227FAF"/>
    <w:rsid w:val="002301D3"/>
    <w:rsid w:val="00231259"/>
    <w:rsid w:val="00231365"/>
    <w:rsid w:val="0023154D"/>
    <w:rsid w:val="00235E7A"/>
    <w:rsid w:val="00241672"/>
    <w:rsid w:val="0024228F"/>
    <w:rsid w:val="00242367"/>
    <w:rsid w:val="0024264C"/>
    <w:rsid w:val="00242DBC"/>
    <w:rsid w:val="00244275"/>
    <w:rsid w:val="00244DE9"/>
    <w:rsid w:val="002468FE"/>
    <w:rsid w:val="00250A94"/>
    <w:rsid w:val="00250C71"/>
    <w:rsid w:val="00251844"/>
    <w:rsid w:val="00252835"/>
    <w:rsid w:val="0025325D"/>
    <w:rsid w:val="00255E7D"/>
    <w:rsid w:val="00257175"/>
    <w:rsid w:val="00260195"/>
    <w:rsid w:val="002617ED"/>
    <w:rsid w:val="00261F72"/>
    <w:rsid w:val="002625F1"/>
    <w:rsid w:val="00262B4E"/>
    <w:rsid w:val="00263B65"/>
    <w:rsid w:val="00263CDE"/>
    <w:rsid w:val="0026431E"/>
    <w:rsid w:val="00264973"/>
    <w:rsid w:val="00264C9B"/>
    <w:rsid w:val="0026573F"/>
    <w:rsid w:val="002672C7"/>
    <w:rsid w:val="00267785"/>
    <w:rsid w:val="00267D19"/>
    <w:rsid w:val="00270984"/>
    <w:rsid w:val="00270A15"/>
    <w:rsid w:val="00270B65"/>
    <w:rsid w:val="002710A6"/>
    <w:rsid w:val="00271313"/>
    <w:rsid w:val="002713B4"/>
    <w:rsid w:val="00272D2F"/>
    <w:rsid w:val="00275DC3"/>
    <w:rsid w:val="00276537"/>
    <w:rsid w:val="002800BB"/>
    <w:rsid w:val="002807B6"/>
    <w:rsid w:val="00282145"/>
    <w:rsid w:val="002824BF"/>
    <w:rsid w:val="00282E86"/>
    <w:rsid w:val="00283EB7"/>
    <w:rsid w:val="00284898"/>
    <w:rsid w:val="00285344"/>
    <w:rsid w:val="00285548"/>
    <w:rsid w:val="00285F88"/>
    <w:rsid w:val="00286512"/>
    <w:rsid w:val="002874B3"/>
    <w:rsid w:val="00287843"/>
    <w:rsid w:val="002907EB"/>
    <w:rsid w:val="00291F49"/>
    <w:rsid w:val="00292308"/>
    <w:rsid w:val="00292F45"/>
    <w:rsid w:val="00294E9C"/>
    <w:rsid w:val="002957F9"/>
    <w:rsid w:val="00295E48"/>
    <w:rsid w:val="00295F1B"/>
    <w:rsid w:val="00297DAC"/>
    <w:rsid w:val="002A0DD9"/>
    <w:rsid w:val="002A1DF4"/>
    <w:rsid w:val="002A2F28"/>
    <w:rsid w:val="002A2FD0"/>
    <w:rsid w:val="002A30EB"/>
    <w:rsid w:val="002A3724"/>
    <w:rsid w:val="002A5D38"/>
    <w:rsid w:val="002A6928"/>
    <w:rsid w:val="002A7417"/>
    <w:rsid w:val="002A7C09"/>
    <w:rsid w:val="002B0C1D"/>
    <w:rsid w:val="002B1EC3"/>
    <w:rsid w:val="002B2213"/>
    <w:rsid w:val="002B2636"/>
    <w:rsid w:val="002B349D"/>
    <w:rsid w:val="002B3F88"/>
    <w:rsid w:val="002B4A95"/>
    <w:rsid w:val="002B5DEB"/>
    <w:rsid w:val="002B6779"/>
    <w:rsid w:val="002B689A"/>
    <w:rsid w:val="002B7253"/>
    <w:rsid w:val="002B7519"/>
    <w:rsid w:val="002B7897"/>
    <w:rsid w:val="002B79A8"/>
    <w:rsid w:val="002B7E4C"/>
    <w:rsid w:val="002C0393"/>
    <w:rsid w:val="002C0EF4"/>
    <w:rsid w:val="002C19DA"/>
    <w:rsid w:val="002C2073"/>
    <w:rsid w:val="002C397A"/>
    <w:rsid w:val="002C3986"/>
    <w:rsid w:val="002C3D2E"/>
    <w:rsid w:val="002C3EBC"/>
    <w:rsid w:val="002C59D9"/>
    <w:rsid w:val="002C5DCF"/>
    <w:rsid w:val="002C6011"/>
    <w:rsid w:val="002C6B46"/>
    <w:rsid w:val="002C74C3"/>
    <w:rsid w:val="002D050B"/>
    <w:rsid w:val="002D06FD"/>
    <w:rsid w:val="002D0C8D"/>
    <w:rsid w:val="002D0EF9"/>
    <w:rsid w:val="002D2D82"/>
    <w:rsid w:val="002D387B"/>
    <w:rsid w:val="002D48A7"/>
    <w:rsid w:val="002D6886"/>
    <w:rsid w:val="002D70A9"/>
    <w:rsid w:val="002D7FB2"/>
    <w:rsid w:val="002E0B69"/>
    <w:rsid w:val="002E0CFB"/>
    <w:rsid w:val="002E200C"/>
    <w:rsid w:val="002E4C84"/>
    <w:rsid w:val="002E5669"/>
    <w:rsid w:val="002E6FA9"/>
    <w:rsid w:val="002E7D0B"/>
    <w:rsid w:val="002F16B4"/>
    <w:rsid w:val="002F2404"/>
    <w:rsid w:val="002F27B6"/>
    <w:rsid w:val="002F2FCB"/>
    <w:rsid w:val="002F408E"/>
    <w:rsid w:val="002F4630"/>
    <w:rsid w:val="002F6151"/>
    <w:rsid w:val="002F6902"/>
    <w:rsid w:val="002F7E7F"/>
    <w:rsid w:val="0030013E"/>
    <w:rsid w:val="003025D8"/>
    <w:rsid w:val="0030476E"/>
    <w:rsid w:val="00305A33"/>
    <w:rsid w:val="00305CE5"/>
    <w:rsid w:val="00307BE8"/>
    <w:rsid w:val="0031144A"/>
    <w:rsid w:val="00311795"/>
    <w:rsid w:val="00313F43"/>
    <w:rsid w:val="00314D9F"/>
    <w:rsid w:val="00316822"/>
    <w:rsid w:val="00316C97"/>
    <w:rsid w:val="00317547"/>
    <w:rsid w:val="00317B54"/>
    <w:rsid w:val="0032036E"/>
    <w:rsid w:val="003211E8"/>
    <w:rsid w:val="00321FF1"/>
    <w:rsid w:val="00322243"/>
    <w:rsid w:val="00322392"/>
    <w:rsid w:val="003223C5"/>
    <w:rsid w:val="00324DA8"/>
    <w:rsid w:val="0032505F"/>
    <w:rsid w:val="00325330"/>
    <w:rsid w:val="00327038"/>
    <w:rsid w:val="003272A8"/>
    <w:rsid w:val="00330BD3"/>
    <w:rsid w:val="003310BA"/>
    <w:rsid w:val="0033128B"/>
    <w:rsid w:val="00331778"/>
    <w:rsid w:val="00331A38"/>
    <w:rsid w:val="00332440"/>
    <w:rsid w:val="00332C38"/>
    <w:rsid w:val="00332FA8"/>
    <w:rsid w:val="003330FA"/>
    <w:rsid w:val="003336F0"/>
    <w:rsid w:val="0033389F"/>
    <w:rsid w:val="00333B72"/>
    <w:rsid w:val="00333CC0"/>
    <w:rsid w:val="003367AD"/>
    <w:rsid w:val="00336A3C"/>
    <w:rsid w:val="0033745C"/>
    <w:rsid w:val="003376A5"/>
    <w:rsid w:val="00337C40"/>
    <w:rsid w:val="00340DAD"/>
    <w:rsid w:val="0034215F"/>
    <w:rsid w:val="00342444"/>
    <w:rsid w:val="00342FB7"/>
    <w:rsid w:val="0034395D"/>
    <w:rsid w:val="00343DD0"/>
    <w:rsid w:val="003474D7"/>
    <w:rsid w:val="003479BC"/>
    <w:rsid w:val="00347AD7"/>
    <w:rsid w:val="0035053D"/>
    <w:rsid w:val="003507A2"/>
    <w:rsid w:val="0035201E"/>
    <w:rsid w:val="00352428"/>
    <w:rsid w:val="003528E2"/>
    <w:rsid w:val="00352A3C"/>
    <w:rsid w:val="00354754"/>
    <w:rsid w:val="0035496F"/>
    <w:rsid w:val="003557ED"/>
    <w:rsid w:val="00356451"/>
    <w:rsid w:val="00357075"/>
    <w:rsid w:val="00360FF1"/>
    <w:rsid w:val="00361F20"/>
    <w:rsid w:val="003622AC"/>
    <w:rsid w:val="00362B61"/>
    <w:rsid w:val="00363103"/>
    <w:rsid w:val="00363B27"/>
    <w:rsid w:val="00363F31"/>
    <w:rsid w:val="0036420A"/>
    <w:rsid w:val="00364290"/>
    <w:rsid w:val="00364740"/>
    <w:rsid w:val="00367559"/>
    <w:rsid w:val="003676A5"/>
    <w:rsid w:val="0037132D"/>
    <w:rsid w:val="00371B33"/>
    <w:rsid w:val="00372704"/>
    <w:rsid w:val="00373E1B"/>
    <w:rsid w:val="00376119"/>
    <w:rsid w:val="003761EB"/>
    <w:rsid w:val="00376324"/>
    <w:rsid w:val="003763FC"/>
    <w:rsid w:val="003766CA"/>
    <w:rsid w:val="003770FB"/>
    <w:rsid w:val="00377314"/>
    <w:rsid w:val="00382268"/>
    <w:rsid w:val="00382779"/>
    <w:rsid w:val="0038294C"/>
    <w:rsid w:val="00382D20"/>
    <w:rsid w:val="003837BB"/>
    <w:rsid w:val="00383D7A"/>
    <w:rsid w:val="00383EAD"/>
    <w:rsid w:val="0038431C"/>
    <w:rsid w:val="00384450"/>
    <w:rsid w:val="003849C1"/>
    <w:rsid w:val="00385036"/>
    <w:rsid w:val="003859EA"/>
    <w:rsid w:val="0038744A"/>
    <w:rsid w:val="00387B57"/>
    <w:rsid w:val="003903B8"/>
    <w:rsid w:val="00392216"/>
    <w:rsid w:val="00392648"/>
    <w:rsid w:val="00392C00"/>
    <w:rsid w:val="00393091"/>
    <w:rsid w:val="003930B9"/>
    <w:rsid w:val="003933C5"/>
    <w:rsid w:val="0039356E"/>
    <w:rsid w:val="00394172"/>
    <w:rsid w:val="003969F3"/>
    <w:rsid w:val="003973FD"/>
    <w:rsid w:val="003975CD"/>
    <w:rsid w:val="003A21DD"/>
    <w:rsid w:val="003A2818"/>
    <w:rsid w:val="003A2918"/>
    <w:rsid w:val="003A3804"/>
    <w:rsid w:val="003A76BD"/>
    <w:rsid w:val="003A76C8"/>
    <w:rsid w:val="003B062B"/>
    <w:rsid w:val="003B0FE1"/>
    <w:rsid w:val="003B1FAA"/>
    <w:rsid w:val="003B23E5"/>
    <w:rsid w:val="003B2549"/>
    <w:rsid w:val="003B5BF0"/>
    <w:rsid w:val="003B5DB0"/>
    <w:rsid w:val="003B712F"/>
    <w:rsid w:val="003B7383"/>
    <w:rsid w:val="003B7D2B"/>
    <w:rsid w:val="003C0AFF"/>
    <w:rsid w:val="003C1149"/>
    <w:rsid w:val="003C12C0"/>
    <w:rsid w:val="003C1C5C"/>
    <w:rsid w:val="003C2969"/>
    <w:rsid w:val="003C32F7"/>
    <w:rsid w:val="003C4F1B"/>
    <w:rsid w:val="003C633D"/>
    <w:rsid w:val="003C7B0B"/>
    <w:rsid w:val="003D0E61"/>
    <w:rsid w:val="003D1E99"/>
    <w:rsid w:val="003D2219"/>
    <w:rsid w:val="003D2373"/>
    <w:rsid w:val="003D2EE2"/>
    <w:rsid w:val="003D445B"/>
    <w:rsid w:val="003D488F"/>
    <w:rsid w:val="003D5040"/>
    <w:rsid w:val="003D54EC"/>
    <w:rsid w:val="003D6FA8"/>
    <w:rsid w:val="003D7B7E"/>
    <w:rsid w:val="003E0AC5"/>
    <w:rsid w:val="003E171C"/>
    <w:rsid w:val="003E1BEE"/>
    <w:rsid w:val="003E2DF2"/>
    <w:rsid w:val="003E48F2"/>
    <w:rsid w:val="003E4C79"/>
    <w:rsid w:val="003E77D9"/>
    <w:rsid w:val="003F06AA"/>
    <w:rsid w:val="003F1A86"/>
    <w:rsid w:val="003F2292"/>
    <w:rsid w:val="003F25A6"/>
    <w:rsid w:val="003F2700"/>
    <w:rsid w:val="003F2F75"/>
    <w:rsid w:val="003F2FBD"/>
    <w:rsid w:val="003F309A"/>
    <w:rsid w:val="003F54C9"/>
    <w:rsid w:val="003F5A7D"/>
    <w:rsid w:val="003F5D71"/>
    <w:rsid w:val="003F6FC9"/>
    <w:rsid w:val="004007A0"/>
    <w:rsid w:val="0040374B"/>
    <w:rsid w:val="00403EE1"/>
    <w:rsid w:val="00405B32"/>
    <w:rsid w:val="00406483"/>
    <w:rsid w:val="00406D0B"/>
    <w:rsid w:val="00407001"/>
    <w:rsid w:val="00407899"/>
    <w:rsid w:val="00407B16"/>
    <w:rsid w:val="004103B5"/>
    <w:rsid w:val="004103F7"/>
    <w:rsid w:val="0041224F"/>
    <w:rsid w:val="00412380"/>
    <w:rsid w:val="00413CE3"/>
    <w:rsid w:val="00414025"/>
    <w:rsid w:val="00414971"/>
    <w:rsid w:val="004154EE"/>
    <w:rsid w:val="00415B3C"/>
    <w:rsid w:val="00415E18"/>
    <w:rsid w:val="004174D5"/>
    <w:rsid w:val="00417FFB"/>
    <w:rsid w:val="0042031D"/>
    <w:rsid w:val="00421901"/>
    <w:rsid w:val="00421F40"/>
    <w:rsid w:val="0042255A"/>
    <w:rsid w:val="00422E0C"/>
    <w:rsid w:val="00422EF0"/>
    <w:rsid w:val="00424035"/>
    <w:rsid w:val="00424452"/>
    <w:rsid w:val="00424A4A"/>
    <w:rsid w:val="00425301"/>
    <w:rsid w:val="004255D2"/>
    <w:rsid w:val="00425CBA"/>
    <w:rsid w:val="00426C19"/>
    <w:rsid w:val="00426CBD"/>
    <w:rsid w:val="0043048D"/>
    <w:rsid w:val="00430A6C"/>
    <w:rsid w:val="00430FC5"/>
    <w:rsid w:val="0043125F"/>
    <w:rsid w:val="0043213D"/>
    <w:rsid w:val="004336A1"/>
    <w:rsid w:val="00434847"/>
    <w:rsid w:val="00435404"/>
    <w:rsid w:val="00436670"/>
    <w:rsid w:val="00436ADD"/>
    <w:rsid w:val="004372C9"/>
    <w:rsid w:val="00441A9B"/>
    <w:rsid w:val="00441D45"/>
    <w:rsid w:val="00442387"/>
    <w:rsid w:val="00442C38"/>
    <w:rsid w:val="00443E4E"/>
    <w:rsid w:val="0044418E"/>
    <w:rsid w:val="004442F7"/>
    <w:rsid w:val="0044441D"/>
    <w:rsid w:val="004445E8"/>
    <w:rsid w:val="00446888"/>
    <w:rsid w:val="00447440"/>
    <w:rsid w:val="00447C87"/>
    <w:rsid w:val="00447E59"/>
    <w:rsid w:val="00450040"/>
    <w:rsid w:val="00452A2E"/>
    <w:rsid w:val="00452F64"/>
    <w:rsid w:val="00454006"/>
    <w:rsid w:val="00454A89"/>
    <w:rsid w:val="00456787"/>
    <w:rsid w:val="004600D1"/>
    <w:rsid w:val="004601C9"/>
    <w:rsid w:val="004629C3"/>
    <w:rsid w:val="004632C0"/>
    <w:rsid w:val="0046342B"/>
    <w:rsid w:val="0046410A"/>
    <w:rsid w:val="004644A8"/>
    <w:rsid w:val="004645BD"/>
    <w:rsid w:val="00464AE3"/>
    <w:rsid w:val="004661D2"/>
    <w:rsid w:val="00466601"/>
    <w:rsid w:val="004669CC"/>
    <w:rsid w:val="00466FB4"/>
    <w:rsid w:val="00466FD2"/>
    <w:rsid w:val="004676AD"/>
    <w:rsid w:val="00471AF3"/>
    <w:rsid w:val="004724AB"/>
    <w:rsid w:val="00472D7D"/>
    <w:rsid w:val="00472EA9"/>
    <w:rsid w:val="00472ED2"/>
    <w:rsid w:val="00473D16"/>
    <w:rsid w:val="004742B6"/>
    <w:rsid w:val="00474D5F"/>
    <w:rsid w:val="00475464"/>
    <w:rsid w:val="00475B87"/>
    <w:rsid w:val="00476EAE"/>
    <w:rsid w:val="004779F3"/>
    <w:rsid w:val="004800E9"/>
    <w:rsid w:val="00480179"/>
    <w:rsid w:val="004807D5"/>
    <w:rsid w:val="00480F38"/>
    <w:rsid w:val="00481FB1"/>
    <w:rsid w:val="004828CB"/>
    <w:rsid w:val="004835A4"/>
    <w:rsid w:val="00483B18"/>
    <w:rsid w:val="004845FE"/>
    <w:rsid w:val="00485A6A"/>
    <w:rsid w:val="00486003"/>
    <w:rsid w:val="00487A58"/>
    <w:rsid w:val="004908B4"/>
    <w:rsid w:val="00493019"/>
    <w:rsid w:val="004933C8"/>
    <w:rsid w:val="00493EC8"/>
    <w:rsid w:val="00494FBD"/>
    <w:rsid w:val="00495027"/>
    <w:rsid w:val="00495857"/>
    <w:rsid w:val="00495AA7"/>
    <w:rsid w:val="004964C1"/>
    <w:rsid w:val="004971FF"/>
    <w:rsid w:val="00497FF7"/>
    <w:rsid w:val="004A0A02"/>
    <w:rsid w:val="004A1CB9"/>
    <w:rsid w:val="004A1DBB"/>
    <w:rsid w:val="004A2C4C"/>
    <w:rsid w:val="004A3732"/>
    <w:rsid w:val="004A3AEE"/>
    <w:rsid w:val="004A429D"/>
    <w:rsid w:val="004A45DA"/>
    <w:rsid w:val="004A67CF"/>
    <w:rsid w:val="004A6D1F"/>
    <w:rsid w:val="004A7D67"/>
    <w:rsid w:val="004A7F24"/>
    <w:rsid w:val="004B2006"/>
    <w:rsid w:val="004B28DF"/>
    <w:rsid w:val="004B31BF"/>
    <w:rsid w:val="004B3B5C"/>
    <w:rsid w:val="004B40F0"/>
    <w:rsid w:val="004B4218"/>
    <w:rsid w:val="004B4883"/>
    <w:rsid w:val="004B4AE7"/>
    <w:rsid w:val="004B584B"/>
    <w:rsid w:val="004B6AE4"/>
    <w:rsid w:val="004B727A"/>
    <w:rsid w:val="004C003D"/>
    <w:rsid w:val="004C2500"/>
    <w:rsid w:val="004C2716"/>
    <w:rsid w:val="004C2B74"/>
    <w:rsid w:val="004C3262"/>
    <w:rsid w:val="004C344A"/>
    <w:rsid w:val="004C47D8"/>
    <w:rsid w:val="004C523C"/>
    <w:rsid w:val="004C59A6"/>
    <w:rsid w:val="004C5C1F"/>
    <w:rsid w:val="004C6784"/>
    <w:rsid w:val="004D06F3"/>
    <w:rsid w:val="004D0D02"/>
    <w:rsid w:val="004D173D"/>
    <w:rsid w:val="004D3970"/>
    <w:rsid w:val="004D40A0"/>
    <w:rsid w:val="004D53B2"/>
    <w:rsid w:val="004D63E2"/>
    <w:rsid w:val="004D6400"/>
    <w:rsid w:val="004D6429"/>
    <w:rsid w:val="004D653B"/>
    <w:rsid w:val="004D656D"/>
    <w:rsid w:val="004D71E8"/>
    <w:rsid w:val="004D72B3"/>
    <w:rsid w:val="004D75D3"/>
    <w:rsid w:val="004D776D"/>
    <w:rsid w:val="004D77CA"/>
    <w:rsid w:val="004D7CA9"/>
    <w:rsid w:val="004E0E52"/>
    <w:rsid w:val="004E15CB"/>
    <w:rsid w:val="004E240D"/>
    <w:rsid w:val="004E2907"/>
    <w:rsid w:val="004E3414"/>
    <w:rsid w:val="004E3C9F"/>
    <w:rsid w:val="004E440D"/>
    <w:rsid w:val="004E48E9"/>
    <w:rsid w:val="004E4FD0"/>
    <w:rsid w:val="004E4FF4"/>
    <w:rsid w:val="004E56BE"/>
    <w:rsid w:val="004E581A"/>
    <w:rsid w:val="004E5D5F"/>
    <w:rsid w:val="004E5FB5"/>
    <w:rsid w:val="004E6C19"/>
    <w:rsid w:val="004E7043"/>
    <w:rsid w:val="004E7142"/>
    <w:rsid w:val="004F02F8"/>
    <w:rsid w:val="004F1519"/>
    <w:rsid w:val="004F1AE3"/>
    <w:rsid w:val="004F1DC7"/>
    <w:rsid w:val="004F22B7"/>
    <w:rsid w:val="004F2BEA"/>
    <w:rsid w:val="004F3116"/>
    <w:rsid w:val="004F3246"/>
    <w:rsid w:val="004F3E1E"/>
    <w:rsid w:val="004F4A86"/>
    <w:rsid w:val="004F4DF4"/>
    <w:rsid w:val="004F555F"/>
    <w:rsid w:val="004F5F70"/>
    <w:rsid w:val="004F670A"/>
    <w:rsid w:val="00501B19"/>
    <w:rsid w:val="00501F80"/>
    <w:rsid w:val="00502687"/>
    <w:rsid w:val="00502DAC"/>
    <w:rsid w:val="00502DBD"/>
    <w:rsid w:val="00503431"/>
    <w:rsid w:val="00503B06"/>
    <w:rsid w:val="00506848"/>
    <w:rsid w:val="00507494"/>
    <w:rsid w:val="00507B09"/>
    <w:rsid w:val="00507BAC"/>
    <w:rsid w:val="00507F2D"/>
    <w:rsid w:val="00507FC3"/>
    <w:rsid w:val="005109D3"/>
    <w:rsid w:val="00511FBA"/>
    <w:rsid w:val="00512557"/>
    <w:rsid w:val="00513B66"/>
    <w:rsid w:val="00514617"/>
    <w:rsid w:val="00515D8F"/>
    <w:rsid w:val="00516531"/>
    <w:rsid w:val="00520470"/>
    <w:rsid w:val="00520B9E"/>
    <w:rsid w:val="00521A55"/>
    <w:rsid w:val="00522D72"/>
    <w:rsid w:val="00522D85"/>
    <w:rsid w:val="00523A75"/>
    <w:rsid w:val="00523DF8"/>
    <w:rsid w:val="00524425"/>
    <w:rsid w:val="005246E6"/>
    <w:rsid w:val="00524ED7"/>
    <w:rsid w:val="005255F0"/>
    <w:rsid w:val="00526AB6"/>
    <w:rsid w:val="00527626"/>
    <w:rsid w:val="0052767B"/>
    <w:rsid w:val="00530DF2"/>
    <w:rsid w:val="00531949"/>
    <w:rsid w:val="005320F1"/>
    <w:rsid w:val="005332E9"/>
    <w:rsid w:val="005337FE"/>
    <w:rsid w:val="00533FC3"/>
    <w:rsid w:val="00536C3A"/>
    <w:rsid w:val="00537989"/>
    <w:rsid w:val="005403E7"/>
    <w:rsid w:val="00540CE1"/>
    <w:rsid w:val="00540DC3"/>
    <w:rsid w:val="00541860"/>
    <w:rsid w:val="00542064"/>
    <w:rsid w:val="005432A8"/>
    <w:rsid w:val="0054363F"/>
    <w:rsid w:val="00543C01"/>
    <w:rsid w:val="005443A4"/>
    <w:rsid w:val="00544556"/>
    <w:rsid w:val="00544ED0"/>
    <w:rsid w:val="00545CBD"/>
    <w:rsid w:val="00547212"/>
    <w:rsid w:val="005504C0"/>
    <w:rsid w:val="00550DA2"/>
    <w:rsid w:val="00552A2E"/>
    <w:rsid w:val="0055334B"/>
    <w:rsid w:val="00553AF4"/>
    <w:rsid w:val="00553B57"/>
    <w:rsid w:val="0055487F"/>
    <w:rsid w:val="00554A93"/>
    <w:rsid w:val="00555E27"/>
    <w:rsid w:val="00556436"/>
    <w:rsid w:val="00556A82"/>
    <w:rsid w:val="00557EC6"/>
    <w:rsid w:val="00560236"/>
    <w:rsid w:val="005602C3"/>
    <w:rsid w:val="005618CB"/>
    <w:rsid w:val="00561F93"/>
    <w:rsid w:val="0056242F"/>
    <w:rsid w:val="005633B4"/>
    <w:rsid w:val="0056415A"/>
    <w:rsid w:val="00564AA9"/>
    <w:rsid w:val="0056575E"/>
    <w:rsid w:val="00565E19"/>
    <w:rsid w:val="00566A92"/>
    <w:rsid w:val="005678E0"/>
    <w:rsid w:val="00567C2E"/>
    <w:rsid w:val="005705A9"/>
    <w:rsid w:val="00570D57"/>
    <w:rsid w:val="005717F5"/>
    <w:rsid w:val="00571EDE"/>
    <w:rsid w:val="00572E46"/>
    <w:rsid w:val="00572ED5"/>
    <w:rsid w:val="0057355C"/>
    <w:rsid w:val="005746F5"/>
    <w:rsid w:val="0057477B"/>
    <w:rsid w:val="0057484C"/>
    <w:rsid w:val="00575189"/>
    <w:rsid w:val="005757CC"/>
    <w:rsid w:val="00576FE4"/>
    <w:rsid w:val="0058032D"/>
    <w:rsid w:val="005811E7"/>
    <w:rsid w:val="00581519"/>
    <w:rsid w:val="00581B8D"/>
    <w:rsid w:val="00582371"/>
    <w:rsid w:val="00582A4E"/>
    <w:rsid w:val="00582D46"/>
    <w:rsid w:val="005834AA"/>
    <w:rsid w:val="005838F0"/>
    <w:rsid w:val="00584026"/>
    <w:rsid w:val="00585F59"/>
    <w:rsid w:val="005860D4"/>
    <w:rsid w:val="0058637B"/>
    <w:rsid w:val="00586598"/>
    <w:rsid w:val="005869C9"/>
    <w:rsid w:val="00586B1C"/>
    <w:rsid w:val="00590631"/>
    <w:rsid w:val="00591E4A"/>
    <w:rsid w:val="005927B8"/>
    <w:rsid w:val="00592E6E"/>
    <w:rsid w:val="00593009"/>
    <w:rsid w:val="00593C00"/>
    <w:rsid w:val="00594EB5"/>
    <w:rsid w:val="00597062"/>
    <w:rsid w:val="005979D9"/>
    <w:rsid w:val="00597D83"/>
    <w:rsid w:val="005A0966"/>
    <w:rsid w:val="005A0A1F"/>
    <w:rsid w:val="005A0C6C"/>
    <w:rsid w:val="005A2F49"/>
    <w:rsid w:val="005A43A2"/>
    <w:rsid w:val="005A64D1"/>
    <w:rsid w:val="005A64E7"/>
    <w:rsid w:val="005A6505"/>
    <w:rsid w:val="005A656F"/>
    <w:rsid w:val="005A6732"/>
    <w:rsid w:val="005A76B1"/>
    <w:rsid w:val="005A7B0F"/>
    <w:rsid w:val="005B2887"/>
    <w:rsid w:val="005B2DD6"/>
    <w:rsid w:val="005B3A27"/>
    <w:rsid w:val="005B3C51"/>
    <w:rsid w:val="005B4012"/>
    <w:rsid w:val="005B40B1"/>
    <w:rsid w:val="005B52FF"/>
    <w:rsid w:val="005B5CFD"/>
    <w:rsid w:val="005B6A61"/>
    <w:rsid w:val="005C0561"/>
    <w:rsid w:val="005C08F7"/>
    <w:rsid w:val="005C2328"/>
    <w:rsid w:val="005C2484"/>
    <w:rsid w:val="005C304F"/>
    <w:rsid w:val="005C3734"/>
    <w:rsid w:val="005C4B39"/>
    <w:rsid w:val="005C52FB"/>
    <w:rsid w:val="005C530C"/>
    <w:rsid w:val="005C578B"/>
    <w:rsid w:val="005C6ECC"/>
    <w:rsid w:val="005C74E2"/>
    <w:rsid w:val="005C7588"/>
    <w:rsid w:val="005D04A1"/>
    <w:rsid w:val="005D0FC6"/>
    <w:rsid w:val="005D18D1"/>
    <w:rsid w:val="005D1A61"/>
    <w:rsid w:val="005D1F1F"/>
    <w:rsid w:val="005D2494"/>
    <w:rsid w:val="005D2990"/>
    <w:rsid w:val="005D44C4"/>
    <w:rsid w:val="005D49B5"/>
    <w:rsid w:val="005D4E73"/>
    <w:rsid w:val="005D5510"/>
    <w:rsid w:val="005D6811"/>
    <w:rsid w:val="005D69AC"/>
    <w:rsid w:val="005D6C95"/>
    <w:rsid w:val="005D756A"/>
    <w:rsid w:val="005E0500"/>
    <w:rsid w:val="005E0857"/>
    <w:rsid w:val="005E12B0"/>
    <w:rsid w:val="005E19EE"/>
    <w:rsid w:val="005E2070"/>
    <w:rsid w:val="005E2EF1"/>
    <w:rsid w:val="005E2F77"/>
    <w:rsid w:val="005E4077"/>
    <w:rsid w:val="005E466A"/>
    <w:rsid w:val="005E5073"/>
    <w:rsid w:val="005E59CC"/>
    <w:rsid w:val="005E7FD0"/>
    <w:rsid w:val="005F116B"/>
    <w:rsid w:val="005F2712"/>
    <w:rsid w:val="005F2815"/>
    <w:rsid w:val="005F2F48"/>
    <w:rsid w:val="005F3755"/>
    <w:rsid w:val="005F5AF6"/>
    <w:rsid w:val="005F5D5B"/>
    <w:rsid w:val="005F60C3"/>
    <w:rsid w:val="005F6753"/>
    <w:rsid w:val="005F6F2A"/>
    <w:rsid w:val="005F73E3"/>
    <w:rsid w:val="005F76B3"/>
    <w:rsid w:val="005F7B2A"/>
    <w:rsid w:val="005F7B7E"/>
    <w:rsid w:val="005F7D5E"/>
    <w:rsid w:val="00600209"/>
    <w:rsid w:val="00600E48"/>
    <w:rsid w:val="006019A4"/>
    <w:rsid w:val="00601A33"/>
    <w:rsid w:val="00601F3C"/>
    <w:rsid w:val="0060252C"/>
    <w:rsid w:val="006043FD"/>
    <w:rsid w:val="006067AD"/>
    <w:rsid w:val="00606C13"/>
    <w:rsid w:val="00606E7A"/>
    <w:rsid w:val="00607C30"/>
    <w:rsid w:val="006103D3"/>
    <w:rsid w:val="00610BC7"/>
    <w:rsid w:val="00610F52"/>
    <w:rsid w:val="00611FD6"/>
    <w:rsid w:val="006127F0"/>
    <w:rsid w:val="00612A02"/>
    <w:rsid w:val="00612C55"/>
    <w:rsid w:val="0061300E"/>
    <w:rsid w:val="00613639"/>
    <w:rsid w:val="006137AC"/>
    <w:rsid w:val="00613BCF"/>
    <w:rsid w:val="00613E40"/>
    <w:rsid w:val="00613E94"/>
    <w:rsid w:val="0061419F"/>
    <w:rsid w:val="0061505A"/>
    <w:rsid w:val="00616B48"/>
    <w:rsid w:val="00617069"/>
    <w:rsid w:val="00617FDB"/>
    <w:rsid w:val="00621333"/>
    <w:rsid w:val="00623142"/>
    <w:rsid w:val="00623147"/>
    <w:rsid w:val="00623E41"/>
    <w:rsid w:val="00623F5E"/>
    <w:rsid w:val="00624549"/>
    <w:rsid w:val="0062516B"/>
    <w:rsid w:val="0062591E"/>
    <w:rsid w:val="00626336"/>
    <w:rsid w:val="00626E63"/>
    <w:rsid w:val="00627989"/>
    <w:rsid w:val="006301E0"/>
    <w:rsid w:val="006311C3"/>
    <w:rsid w:val="0063200F"/>
    <w:rsid w:val="006325C5"/>
    <w:rsid w:val="0063279D"/>
    <w:rsid w:val="006330D5"/>
    <w:rsid w:val="00633EF5"/>
    <w:rsid w:val="006349AC"/>
    <w:rsid w:val="00634EF6"/>
    <w:rsid w:val="00635A96"/>
    <w:rsid w:val="00635DB0"/>
    <w:rsid w:val="00636D66"/>
    <w:rsid w:val="006371B8"/>
    <w:rsid w:val="00637DD5"/>
    <w:rsid w:val="00640010"/>
    <w:rsid w:val="006428F8"/>
    <w:rsid w:val="00642B39"/>
    <w:rsid w:val="006430F7"/>
    <w:rsid w:val="006446F0"/>
    <w:rsid w:val="00644B2D"/>
    <w:rsid w:val="006453C2"/>
    <w:rsid w:val="006461DD"/>
    <w:rsid w:val="00646640"/>
    <w:rsid w:val="0065002D"/>
    <w:rsid w:val="0065022B"/>
    <w:rsid w:val="006505F3"/>
    <w:rsid w:val="00651C64"/>
    <w:rsid w:val="00652527"/>
    <w:rsid w:val="00652FAA"/>
    <w:rsid w:val="006534FD"/>
    <w:rsid w:val="00654E31"/>
    <w:rsid w:val="00655404"/>
    <w:rsid w:val="006554DE"/>
    <w:rsid w:val="0065573B"/>
    <w:rsid w:val="00656483"/>
    <w:rsid w:val="00656A75"/>
    <w:rsid w:val="00656AE2"/>
    <w:rsid w:val="00656E34"/>
    <w:rsid w:val="00656EE5"/>
    <w:rsid w:val="006605E7"/>
    <w:rsid w:val="006609E6"/>
    <w:rsid w:val="0066245E"/>
    <w:rsid w:val="00662A81"/>
    <w:rsid w:val="006635B1"/>
    <w:rsid w:val="0066476B"/>
    <w:rsid w:val="00665145"/>
    <w:rsid w:val="0066659A"/>
    <w:rsid w:val="00666D0C"/>
    <w:rsid w:val="006701CD"/>
    <w:rsid w:val="0067067B"/>
    <w:rsid w:val="0067075A"/>
    <w:rsid w:val="006718AB"/>
    <w:rsid w:val="006731F2"/>
    <w:rsid w:val="00673632"/>
    <w:rsid w:val="00674646"/>
    <w:rsid w:val="00676108"/>
    <w:rsid w:val="006763A5"/>
    <w:rsid w:val="0067667C"/>
    <w:rsid w:val="006772C3"/>
    <w:rsid w:val="00677A04"/>
    <w:rsid w:val="00677DAF"/>
    <w:rsid w:val="0068056C"/>
    <w:rsid w:val="0068075A"/>
    <w:rsid w:val="00680954"/>
    <w:rsid w:val="00680AA8"/>
    <w:rsid w:val="00680DFD"/>
    <w:rsid w:val="00681AA7"/>
    <w:rsid w:val="00681AF0"/>
    <w:rsid w:val="0068217F"/>
    <w:rsid w:val="006837BD"/>
    <w:rsid w:val="0068621C"/>
    <w:rsid w:val="0068689B"/>
    <w:rsid w:val="0068728F"/>
    <w:rsid w:val="00687C09"/>
    <w:rsid w:val="00691A2C"/>
    <w:rsid w:val="00691CFB"/>
    <w:rsid w:val="00692F18"/>
    <w:rsid w:val="00693B13"/>
    <w:rsid w:val="00694042"/>
    <w:rsid w:val="00694921"/>
    <w:rsid w:val="00695DD3"/>
    <w:rsid w:val="00696237"/>
    <w:rsid w:val="00696E4A"/>
    <w:rsid w:val="00697AF2"/>
    <w:rsid w:val="00697F8F"/>
    <w:rsid w:val="006A062E"/>
    <w:rsid w:val="006A1E38"/>
    <w:rsid w:val="006A215F"/>
    <w:rsid w:val="006A2627"/>
    <w:rsid w:val="006A2EC0"/>
    <w:rsid w:val="006A32FE"/>
    <w:rsid w:val="006A40A7"/>
    <w:rsid w:val="006A46A9"/>
    <w:rsid w:val="006A6B9B"/>
    <w:rsid w:val="006B0382"/>
    <w:rsid w:val="006B2824"/>
    <w:rsid w:val="006B39FC"/>
    <w:rsid w:val="006B3F3B"/>
    <w:rsid w:val="006B4212"/>
    <w:rsid w:val="006B4EFC"/>
    <w:rsid w:val="006B54CE"/>
    <w:rsid w:val="006B5651"/>
    <w:rsid w:val="006B6A2E"/>
    <w:rsid w:val="006B7549"/>
    <w:rsid w:val="006B7939"/>
    <w:rsid w:val="006B7C43"/>
    <w:rsid w:val="006C02AC"/>
    <w:rsid w:val="006C0B55"/>
    <w:rsid w:val="006C0C1E"/>
    <w:rsid w:val="006C1DE0"/>
    <w:rsid w:val="006C246A"/>
    <w:rsid w:val="006C2AAF"/>
    <w:rsid w:val="006C48FD"/>
    <w:rsid w:val="006C52B9"/>
    <w:rsid w:val="006D2303"/>
    <w:rsid w:val="006D2A58"/>
    <w:rsid w:val="006D32BE"/>
    <w:rsid w:val="006D3D5B"/>
    <w:rsid w:val="006D42F0"/>
    <w:rsid w:val="006D45E1"/>
    <w:rsid w:val="006D728D"/>
    <w:rsid w:val="006D76B2"/>
    <w:rsid w:val="006D7CCB"/>
    <w:rsid w:val="006E0CE0"/>
    <w:rsid w:val="006E4E2F"/>
    <w:rsid w:val="006E6CF7"/>
    <w:rsid w:val="006E7A11"/>
    <w:rsid w:val="006F0919"/>
    <w:rsid w:val="006F27A7"/>
    <w:rsid w:val="006F2CAD"/>
    <w:rsid w:val="006F34D7"/>
    <w:rsid w:val="006F3A60"/>
    <w:rsid w:val="006F4412"/>
    <w:rsid w:val="006F44C3"/>
    <w:rsid w:val="006F4F05"/>
    <w:rsid w:val="006F5ED3"/>
    <w:rsid w:val="006F6227"/>
    <w:rsid w:val="006F626E"/>
    <w:rsid w:val="006F7D58"/>
    <w:rsid w:val="007018F5"/>
    <w:rsid w:val="00701DB5"/>
    <w:rsid w:val="00702961"/>
    <w:rsid w:val="00702B59"/>
    <w:rsid w:val="007036D7"/>
    <w:rsid w:val="00704588"/>
    <w:rsid w:val="007061F8"/>
    <w:rsid w:val="00706881"/>
    <w:rsid w:val="0070761F"/>
    <w:rsid w:val="00707D54"/>
    <w:rsid w:val="00712C75"/>
    <w:rsid w:val="00713317"/>
    <w:rsid w:val="00713AB1"/>
    <w:rsid w:val="00713C25"/>
    <w:rsid w:val="00716C73"/>
    <w:rsid w:val="00717217"/>
    <w:rsid w:val="0071766B"/>
    <w:rsid w:val="00721DF0"/>
    <w:rsid w:val="007231A7"/>
    <w:rsid w:val="00724702"/>
    <w:rsid w:val="00724FBF"/>
    <w:rsid w:val="00725419"/>
    <w:rsid w:val="00725744"/>
    <w:rsid w:val="007279ED"/>
    <w:rsid w:val="00727CEB"/>
    <w:rsid w:val="00727DBB"/>
    <w:rsid w:val="00727F90"/>
    <w:rsid w:val="00730974"/>
    <w:rsid w:val="00731756"/>
    <w:rsid w:val="007328E7"/>
    <w:rsid w:val="007328F7"/>
    <w:rsid w:val="00732A16"/>
    <w:rsid w:val="00733053"/>
    <w:rsid w:val="007371C1"/>
    <w:rsid w:val="00737566"/>
    <w:rsid w:val="00737B0D"/>
    <w:rsid w:val="00740560"/>
    <w:rsid w:val="007406B1"/>
    <w:rsid w:val="00740D0E"/>
    <w:rsid w:val="007417C7"/>
    <w:rsid w:val="00741EB2"/>
    <w:rsid w:val="007420A8"/>
    <w:rsid w:val="00742B7D"/>
    <w:rsid w:val="00743F77"/>
    <w:rsid w:val="0074778C"/>
    <w:rsid w:val="00747D0B"/>
    <w:rsid w:val="00750171"/>
    <w:rsid w:val="00750286"/>
    <w:rsid w:val="00751782"/>
    <w:rsid w:val="0075279B"/>
    <w:rsid w:val="007534F8"/>
    <w:rsid w:val="007535BB"/>
    <w:rsid w:val="007544B8"/>
    <w:rsid w:val="00760582"/>
    <w:rsid w:val="007607E3"/>
    <w:rsid w:val="00760FA3"/>
    <w:rsid w:val="00762DB5"/>
    <w:rsid w:val="00763171"/>
    <w:rsid w:val="00763ACF"/>
    <w:rsid w:val="00765758"/>
    <w:rsid w:val="00765CF2"/>
    <w:rsid w:val="00766773"/>
    <w:rsid w:val="00766D73"/>
    <w:rsid w:val="00767AC0"/>
    <w:rsid w:val="00767DC2"/>
    <w:rsid w:val="007705FC"/>
    <w:rsid w:val="00771FD0"/>
    <w:rsid w:val="00772D20"/>
    <w:rsid w:val="00773A62"/>
    <w:rsid w:val="00774488"/>
    <w:rsid w:val="00774636"/>
    <w:rsid w:val="00775EF1"/>
    <w:rsid w:val="007769DF"/>
    <w:rsid w:val="00776A2E"/>
    <w:rsid w:val="00777293"/>
    <w:rsid w:val="00777EE2"/>
    <w:rsid w:val="0078042A"/>
    <w:rsid w:val="007806E4"/>
    <w:rsid w:val="00783BA1"/>
    <w:rsid w:val="00783E19"/>
    <w:rsid w:val="00784F9C"/>
    <w:rsid w:val="0078556A"/>
    <w:rsid w:val="007866A3"/>
    <w:rsid w:val="00786F47"/>
    <w:rsid w:val="00787F60"/>
    <w:rsid w:val="00790BBA"/>
    <w:rsid w:val="00790BE5"/>
    <w:rsid w:val="00792240"/>
    <w:rsid w:val="00793421"/>
    <w:rsid w:val="00793EA0"/>
    <w:rsid w:val="00794148"/>
    <w:rsid w:val="007947E9"/>
    <w:rsid w:val="00794D1B"/>
    <w:rsid w:val="00795159"/>
    <w:rsid w:val="00795185"/>
    <w:rsid w:val="007A090C"/>
    <w:rsid w:val="007A0D51"/>
    <w:rsid w:val="007A1101"/>
    <w:rsid w:val="007A20B3"/>
    <w:rsid w:val="007A2423"/>
    <w:rsid w:val="007A29A5"/>
    <w:rsid w:val="007A32D7"/>
    <w:rsid w:val="007A3BA5"/>
    <w:rsid w:val="007A5BB9"/>
    <w:rsid w:val="007A63C5"/>
    <w:rsid w:val="007A655E"/>
    <w:rsid w:val="007A6E5E"/>
    <w:rsid w:val="007A74C6"/>
    <w:rsid w:val="007A76F5"/>
    <w:rsid w:val="007B06A2"/>
    <w:rsid w:val="007B0714"/>
    <w:rsid w:val="007B0A28"/>
    <w:rsid w:val="007B0C25"/>
    <w:rsid w:val="007B0DDF"/>
    <w:rsid w:val="007B1766"/>
    <w:rsid w:val="007B241B"/>
    <w:rsid w:val="007B2A7E"/>
    <w:rsid w:val="007B304F"/>
    <w:rsid w:val="007B3EC8"/>
    <w:rsid w:val="007B6277"/>
    <w:rsid w:val="007B6471"/>
    <w:rsid w:val="007B6E8D"/>
    <w:rsid w:val="007B7C4C"/>
    <w:rsid w:val="007B7C8B"/>
    <w:rsid w:val="007B7DB9"/>
    <w:rsid w:val="007C07C7"/>
    <w:rsid w:val="007C0A8E"/>
    <w:rsid w:val="007C105D"/>
    <w:rsid w:val="007C1353"/>
    <w:rsid w:val="007C1E06"/>
    <w:rsid w:val="007C1E9F"/>
    <w:rsid w:val="007C2BD6"/>
    <w:rsid w:val="007C38A0"/>
    <w:rsid w:val="007C3A68"/>
    <w:rsid w:val="007C4771"/>
    <w:rsid w:val="007C4E1F"/>
    <w:rsid w:val="007C5064"/>
    <w:rsid w:val="007C5BE0"/>
    <w:rsid w:val="007C6315"/>
    <w:rsid w:val="007C64D6"/>
    <w:rsid w:val="007C658E"/>
    <w:rsid w:val="007C6E85"/>
    <w:rsid w:val="007C6FF7"/>
    <w:rsid w:val="007D0971"/>
    <w:rsid w:val="007D10F1"/>
    <w:rsid w:val="007D1455"/>
    <w:rsid w:val="007D1B0E"/>
    <w:rsid w:val="007D34DD"/>
    <w:rsid w:val="007D3DAD"/>
    <w:rsid w:val="007D6B2F"/>
    <w:rsid w:val="007D6EEE"/>
    <w:rsid w:val="007D7EE8"/>
    <w:rsid w:val="007E023E"/>
    <w:rsid w:val="007E0C9F"/>
    <w:rsid w:val="007E1EBF"/>
    <w:rsid w:val="007E3E4D"/>
    <w:rsid w:val="007E555F"/>
    <w:rsid w:val="007E5B77"/>
    <w:rsid w:val="007E601A"/>
    <w:rsid w:val="007E6372"/>
    <w:rsid w:val="007E7379"/>
    <w:rsid w:val="007F11C3"/>
    <w:rsid w:val="007F17CA"/>
    <w:rsid w:val="007F2104"/>
    <w:rsid w:val="007F27FC"/>
    <w:rsid w:val="007F39F4"/>
    <w:rsid w:val="007F46C4"/>
    <w:rsid w:val="007F64A1"/>
    <w:rsid w:val="007F651C"/>
    <w:rsid w:val="007F6563"/>
    <w:rsid w:val="007F6E25"/>
    <w:rsid w:val="007F7B0E"/>
    <w:rsid w:val="008003CE"/>
    <w:rsid w:val="00800672"/>
    <w:rsid w:val="008009A6"/>
    <w:rsid w:val="00800E8D"/>
    <w:rsid w:val="00801C8B"/>
    <w:rsid w:val="00801F21"/>
    <w:rsid w:val="00803584"/>
    <w:rsid w:val="008035A7"/>
    <w:rsid w:val="0080381A"/>
    <w:rsid w:val="0080442C"/>
    <w:rsid w:val="00804CF0"/>
    <w:rsid w:val="00805FD3"/>
    <w:rsid w:val="008066FA"/>
    <w:rsid w:val="00806E92"/>
    <w:rsid w:val="00807D6C"/>
    <w:rsid w:val="00810168"/>
    <w:rsid w:val="00810297"/>
    <w:rsid w:val="008113D1"/>
    <w:rsid w:val="00811663"/>
    <w:rsid w:val="008119C5"/>
    <w:rsid w:val="008119E6"/>
    <w:rsid w:val="0081290E"/>
    <w:rsid w:val="008129F8"/>
    <w:rsid w:val="008138F8"/>
    <w:rsid w:val="0081423F"/>
    <w:rsid w:val="0081425F"/>
    <w:rsid w:val="00814FB2"/>
    <w:rsid w:val="0081544F"/>
    <w:rsid w:val="00815FFF"/>
    <w:rsid w:val="008160C6"/>
    <w:rsid w:val="00816317"/>
    <w:rsid w:val="0081668F"/>
    <w:rsid w:val="00816924"/>
    <w:rsid w:val="008170A6"/>
    <w:rsid w:val="00817D5F"/>
    <w:rsid w:val="00820D43"/>
    <w:rsid w:val="008217CE"/>
    <w:rsid w:val="008219A0"/>
    <w:rsid w:val="00821C4E"/>
    <w:rsid w:val="008236F7"/>
    <w:rsid w:val="00823F31"/>
    <w:rsid w:val="00824648"/>
    <w:rsid w:val="00824749"/>
    <w:rsid w:val="008248D6"/>
    <w:rsid w:val="008248DB"/>
    <w:rsid w:val="0082495A"/>
    <w:rsid w:val="00825E38"/>
    <w:rsid w:val="00826B5E"/>
    <w:rsid w:val="008273B4"/>
    <w:rsid w:val="00827669"/>
    <w:rsid w:val="00827CE7"/>
    <w:rsid w:val="00831F49"/>
    <w:rsid w:val="00832AD1"/>
    <w:rsid w:val="00833700"/>
    <w:rsid w:val="00834087"/>
    <w:rsid w:val="00834360"/>
    <w:rsid w:val="0083437F"/>
    <w:rsid w:val="00835094"/>
    <w:rsid w:val="0083532E"/>
    <w:rsid w:val="0083642E"/>
    <w:rsid w:val="00837562"/>
    <w:rsid w:val="00837F01"/>
    <w:rsid w:val="00841028"/>
    <w:rsid w:val="008425AC"/>
    <w:rsid w:val="00842C3F"/>
    <w:rsid w:val="00842D27"/>
    <w:rsid w:val="0084328A"/>
    <w:rsid w:val="008439C6"/>
    <w:rsid w:val="008455AC"/>
    <w:rsid w:val="00846042"/>
    <w:rsid w:val="0084703E"/>
    <w:rsid w:val="00847705"/>
    <w:rsid w:val="00847984"/>
    <w:rsid w:val="00850142"/>
    <w:rsid w:val="008504DA"/>
    <w:rsid w:val="00851642"/>
    <w:rsid w:val="00852BD2"/>
    <w:rsid w:val="00853330"/>
    <w:rsid w:val="00853E05"/>
    <w:rsid w:val="00853E8F"/>
    <w:rsid w:val="00854573"/>
    <w:rsid w:val="00854F76"/>
    <w:rsid w:val="00856968"/>
    <w:rsid w:val="00857ED7"/>
    <w:rsid w:val="00861B7C"/>
    <w:rsid w:val="00861C83"/>
    <w:rsid w:val="00862171"/>
    <w:rsid w:val="00862217"/>
    <w:rsid w:val="008629B4"/>
    <w:rsid w:val="00863017"/>
    <w:rsid w:val="008649DB"/>
    <w:rsid w:val="00864D3D"/>
    <w:rsid w:val="00866E14"/>
    <w:rsid w:val="00867BEE"/>
    <w:rsid w:val="0087012E"/>
    <w:rsid w:val="008712BA"/>
    <w:rsid w:val="00871B90"/>
    <w:rsid w:val="00873502"/>
    <w:rsid w:val="00873DBB"/>
    <w:rsid w:val="00874910"/>
    <w:rsid w:val="00875198"/>
    <w:rsid w:val="00875807"/>
    <w:rsid w:val="008766AC"/>
    <w:rsid w:val="00876DFC"/>
    <w:rsid w:val="008808B3"/>
    <w:rsid w:val="00881007"/>
    <w:rsid w:val="00881A2F"/>
    <w:rsid w:val="00882A0F"/>
    <w:rsid w:val="00882C0A"/>
    <w:rsid w:val="008833E9"/>
    <w:rsid w:val="00883A0A"/>
    <w:rsid w:val="00883A92"/>
    <w:rsid w:val="00884942"/>
    <w:rsid w:val="008851FB"/>
    <w:rsid w:val="00885EFC"/>
    <w:rsid w:val="0088630C"/>
    <w:rsid w:val="0088636F"/>
    <w:rsid w:val="008873DB"/>
    <w:rsid w:val="00887799"/>
    <w:rsid w:val="00890E76"/>
    <w:rsid w:val="00892412"/>
    <w:rsid w:val="00893214"/>
    <w:rsid w:val="00893809"/>
    <w:rsid w:val="00893D67"/>
    <w:rsid w:val="00894AE2"/>
    <w:rsid w:val="00895819"/>
    <w:rsid w:val="00896CA6"/>
    <w:rsid w:val="008970E2"/>
    <w:rsid w:val="00897E70"/>
    <w:rsid w:val="008A0325"/>
    <w:rsid w:val="008A08BD"/>
    <w:rsid w:val="008A1C7C"/>
    <w:rsid w:val="008A2D68"/>
    <w:rsid w:val="008A2D90"/>
    <w:rsid w:val="008A304B"/>
    <w:rsid w:val="008A4234"/>
    <w:rsid w:val="008A4462"/>
    <w:rsid w:val="008A4A7B"/>
    <w:rsid w:val="008A5580"/>
    <w:rsid w:val="008A648E"/>
    <w:rsid w:val="008A7376"/>
    <w:rsid w:val="008A7800"/>
    <w:rsid w:val="008A7974"/>
    <w:rsid w:val="008B06EE"/>
    <w:rsid w:val="008B0C28"/>
    <w:rsid w:val="008B1923"/>
    <w:rsid w:val="008B1A56"/>
    <w:rsid w:val="008B3DE2"/>
    <w:rsid w:val="008B3F02"/>
    <w:rsid w:val="008B44CA"/>
    <w:rsid w:val="008B5A47"/>
    <w:rsid w:val="008B6DED"/>
    <w:rsid w:val="008B6F7D"/>
    <w:rsid w:val="008B750C"/>
    <w:rsid w:val="008C022C"/>
    <w:rsid w:val="008C0624"/>
    <w:rsid w:val="008C177D"/>
    <w:rsid w:val="008C17A3"/>
    <w:rsid w:val="008C1D96"/>
    <w:rsid w:val="008C301B"/>
    <w:rsid w:val="008C47AE"/>
    <w:rsid w:val="008C4C7B"/>
    <w:rsid w:val="008C5A8F"/>
    <w:rsid w:val="008C6A76"/>
    <w:rsid w:val="008D02E3"/>
    <w:rsid w:val="008D188E"/>
    <w:rsid w:val="008D2E16"/>
    <w:rsid w:val="008D3004"/>
    <w:rsid w:val="008D3A3A"/>
    <w:rsid w:val="008D42E4"/>
    <w:rsid w:val="008D432F"/>
    <w:rsid w:val="008D47F4"/>
    <w:rsid w:val="008D48E4"/>
    <w:rsid w:val="008D50F6"/>
    <w:rsid w:val="008D5673"/>
    <w:rsid w:val="008D7423"/>
    <w:rsid w:val="008D75F1"/>
    <w:rsid w:val="008D769C"/>
    <w:rsid w:val="008D7FE3"/>
    <w:rsid w:val="008E00BA"/>
    <w:rsid w:val="008E0218"/>
    <w:rsid w:val="008E14F1"/>
    <w:rsid w:val="008E2861"/>
    <w:rsid w:val="008E30D4"/>
    <w:rsid w:val="008E335D"/>
    <w:rsid w:val="008E3AEB"/>
    <w:rsid w:val="008E4821"/>
    <w:rsid w:val="008E55AB"/>
    <w:rsid w:val="008E6726"/>
    <w:rsid w:val="008F0BD6"/>
    <w:rsid w:val="008F0FD4"/>
    <w:rsid w:val="008F2B55"/>
    <w:rsid w:val="008F2D34"/>
    <w:rsid w:val="008F38BD"/>
    <w:rsid w:val="008F47A1"/>
    <w:rsid w:val="008F5BC4"/>
    <w:rsid w:val="008F6174"/>
    <w:rsid w:val="008F758D"/>
    <w:rsid w:val="008F7991"/>
    <w:rsid w:val="009016A7"/>
    <w:rsid w:val="00901DFF"/>
    <w:rsid w:val="00902474"/>
    <w:rsid w:val="00902F12"/>
    <w:rsid w:val="00904200"/>
    <w:rsid w:val="00904CD4"/>
    <w:rsid w:val="009050A6"/>
    <w:rsid w:val="00906A7B"/>
    <w:rsid w:val="00906DDE"/>
    <w:rsid w:val="009078DF"/>
    <w:rsid w:val="0091199E"/>
    <w:rsid w:val="00913EE5"/>
    <w:rsid w:val="009158E4"/>
    <w:rsid w:val="0092031C"/>
    <w:rsid w:val="009212C6"/>
    <w:rsid w:val="00921386"/>
    <w:rsid w:val="00921411"/>
    <w:rsid w:val="009218F0"/>
    <w:rsid w:val="00921D4F"/>
    <w:rsid w:val="009233A3"/>
    <w:rsid w:val="00923480"/>
    <w:rsid w:val="00923D88"/>
    <w:rsid w:val="009242A1"/>
    <w:rsid w:val="00924596"/>
    <w:rsid w:val="009248F7"/>
    <w:rsid w:val="0092538F"/>
    <w:rsid w:val="00926DA1"/>
    <w:rsid w:val="00927A5F"/>
    <w:rsid w:val="00927F54"/>
    <w:rsid w:val="00930E66"/>
    <w:rsid w:val="0093178F"/>
    <w:rsid w:val="00931D89"/>
    <w:rsid w:val="00931E57"/>
    <w:rsid w:val="00932B05"/>
    <w:rsid w:val="00932D06"/>
    <w:rsid w:val="0093306F"/>
    <w:rsid w:val="009339E9"/>
    <w:rsid w:val="00934851"/>
    <w:rsid w:val="00935008"/>
    <w:rsid w:val="009352C2"/>
    <w:rsid w:val="00935E6F"/>
    <w:rsid w:val="0093638C"/>
    <w:rsid w:val="00936FCD"/>
    <w:rsid w:val="00937827"/>
    <w:rsid w:val="009403F3"/>
    <w:rsid w:val="009405DC"/>
    <w:rsid w:val="009405EE"/>
    <w:rsid w:val="00940B53"/>
    <w:rsid w:val="00940C26"/>
    <w:rsid w:val="00941163"/>
    <w:rsid w:val="009413F2"/>
    <w:rsid w:val="00943122"/>
    <w:rsid w:val="009439B9"/>
    <w:rsid w:val="00944278"/>
    <w:rsid w:val="0094435F"/>
    <w:rsid w:val="0094534C"/>
    <w:rsid w:val="009454BC"/>
    <w:rsid w:val="009458AB"/>
    <w:rsid w:val="009512C5"/>
    <w:rsid w:val="0095333A"/>
    <w:rsid w:val="009534E4"/>
    <w:rsid w:val="00953710"/>
    <w:rsid w:val="00953A29"/>
    <w:rsid w:val="00955E38"/>
    <w:rsid w:val="00960A3B"/>
    <w:rsid w:val="00960E0E"/>
    <w:rsid w:val="009610A5"/>
    <w:rsid w:val="00961711"/>
    <w:rsid w:val="009639CD"/>
    <w:rsid w:val="00964D94"/>
    <w:rsid w:val="00965CFB"/>
    <w:rsid w:val="00967636"/>
    <w:rsid w:val="0097009D"/>
    <w:rsid w:val="00970934"/>
    <w:rsid w:val="00970D79"/>
    <w:rsid w:val="00970F63"/>
    <w:rsid w:val="009710F5"/>
    <w:rsid w:val="009725E6"/>
    <w:rsid w:val="00972935"/>
    <w:rsid w:val="00972BBF"/>
    <w:rsid w:val="009735A0"/>
    <w:rsid w:val="009736D9"/>
    <w:rsid w:val="00974600"/>
    <w:rsid w:val="00974EFA"/>
    <w:rsid w:val="00975447"/>
    <w:rsid w:val="009754C6"/>
    <w:rsid w:val="0097608B"/>
    <w:rsid w:val="009760D1"/>
    <w:rsid w:val="0097658E"/>
    <w:rsid w:val="00976F7E"/>
    <w:rsid w:val="009770DE"/>
    <w:rsid w:val="00977649"/>
    <w:rsid w:val="0097778F"/>
    <w:rsid w:val="0098037A"/>
    <w:rsid w:val="00982BCA"/>
    <w:rsid w:val="00983DB6"/>
    <w:rsid w:val="00987EA4"/>
    <w:rsid w:val="0099164D"/>
    <w:rsid w:val="00991816"/>
    <w:rsid w:val="00991B3F"/>
    <w:rsid w:val="00992110"/>
    <w:rsid w:val="009926D9"/>
    <w:rsid w:val="009941E3"/>
    <w:rsid w:val="00994331"/>
    <w:rsid w:val="009946D9"/>
    <w:rsid w:val="009967BB"/>
    <w:rsid w:val="0099684B"/>
    <w:rsid w:val="00997302"/>
    <w:rsid w:val="00997E94"/>
    <w:rsid w:val="009A0388"/>
    <w:rsid w:val="009A1545"/>
    <w:rsid w:val="009A16EB"/>
    <w:rsid w:val="009A21D9"/>
    <w:rsid w:val="009A2E59"/>
    <w:rsid w:val="009A3B6B"/>
    <w:rsid w:val="009A40FF"/>
    <w:rsid w:val="009A4102"/>
    <w:rsid w:val="009A4309"/>
    <w:rsid w:val="009A69F5"/>
    <w:rsid w:val="009B4B01"/>
    <w:rsid w:val="009B53B0"/>
    <w:rsid w:val="009B5FB0"/>
    <w:rsid w:val="009B6E8A"/>
    <w:rsid w:val="009B716B"/>
    <w:rsid w:val="009C08F2"/>
    <w:rsid w:val="009C3464"/>
    <w:rsid w:val="009C3DF6"/>
    <w:rsid w:val="009C55F2"/>
    <w:rsid w:val="009C691C"/>
    <w:rsid w:val="009D0462"/>
    <w:rsid w:val="009D0BA2"/>
    <w:rsid w:val="009D0C57"/>
    <w:rsid w:val="009D0EC1"/>
    <w:rsid w:val="009D1302"/>
    <w:rsid w:val="009D1561"/>
    <w:rsid w:val="009D2FC3"/>
    <w:rsid w:val="009D41F8"/>
    <w:rsid w:val="009D587B"/>
    <w:rsid w:val="009D5F7B"/>
    <w:rsid w:val="009D6D1C"/>
    <w:rsid w:val="009D7801"/>
    <w:rsid w:val="009E18B2"/>
    <w:rsid w:val="009E19F9"/>
    <w:rsid w:val="009E270E"/>
    <w:rsid w:val="009E43AB"/>
    <w:rsid w:val="009E50FB"/>
    <w:rsid w:val="009F0B6D"/>
    <w:rsid w:val="009F2DF1"/>
    <w:rsid w:val="009F2FCB"/>
    <w:rsid w:val="009F5696"/>
    <w:rsid w:val="009F6052"/>
    <w:rsid w:val="009F6175"/>
    <w:rsid w:val="009F6B60"/>
    <w:rsid w:val="00A00355"/>
    <w:rsid w:val="00A00D2C"/>
    <w:rsid w:val="00A01A0D"/>
    <w:rsid w:val="00A02117"/>
    <w:rsid w:val="00A02C80"/>
    <w:rsid w:val="00A0450C"/>
    <w:rsid w:val="00A04824"/>
    <w:rsid w:val="00A04B2E"/>
    <w:rsid w:val="00A050C6"/>
    <w:rsid w:val="00A05647"/>
    <w:rsid w:val="00A0624D"/>
    <w:rsid w:val="00A075BC"/>
    <w:rsid w:val="00A10A71"/>
    <w:rsid w:val="00A10C84"/>
    <w:rsid w:val="00A13290"/>
    <w:rsid w:val="00A153E1"/>
    <w:rsid w:val="00A16935"/>
    <w:rsid w:val="00A16B73"/>
    <w:rsid w:val="00A170EA"/>
    <w:rsid w:val="00A17E64"/>
    <w:rsid w:val="00A20A45"/>
    <w:rsid w:val="00A21896"/>
    <w:rsid w:val="00A2190A"/>
    <w:rsid w:val="00A22E82"/>
    <w:rsid w:val="00A23868"/>
    <w:rsid w:val="00A23F0B"/>
    <w:rsid w:val="00A2401E"/>
    <w:rsid w:val="00A25046"/>
    <w:rsid w:val="00A25542"/>
    <w:rsid w:val="00A26201"/>
    <w:rsid w:val="00A30AE3"/>
    <w:rsid w:val="00A31C6D"/>
    <w:rsid w:val="00A32223"/>
    <w:rsid w:val="00A3225C"/>
    <w:rsid w:val="00A32437"/>
    <w:rsid w:val="00A3249E"/>
    <w:rsid w:val="00A33C4E"/>
    <w:rsid w:val="00A3556C"/>
    <w:rsid w:val="00A35E47"/>
    <w:rsid w:val="00A3620F"/>
    <w:rsid w:val="00A362AA"/>
    <w:rsid w:val="00A404D8"/>
    <w:rsid w:val="00A413E8"/>
    <w:rsid w:val="00A43A2E"/>
    <w:rsid w:val="00A445E2"/>
    <w:rsid w:val="00A4488A"/>
    <w:rsid w:val="00A463DB"/>
    <w:rsid w:val="00A476B6"/>
    <w:rsid w:val="00A536D5"/>
    <w:rsid w:val="00A53D5B"/>
    <w:rsid w:val="00A54707"/>
    <w:rsid w:val="00A55B98"/>
    <w:rsid w:val="00A55CD7"/>
    <w:rsid w:val="00A564B6"/>
    <w:rsid w:val="00A5687B"/>
    <w:rsid w:val="00A56D49"/>
    <w:rsid w:val="00A56F18"/>
    <w:rsid w:val="00A57458"/>
    <w:rsid w:val="00A605D5"/>
    <w:rsid w:val="00A60EFA"/>
    <w:rsid w:val="00A61322"/>
    <w:rsid w:val="00A63BBB"/>
    <w:rsid w:val="00A650E5"/>
    <w:rsid w:val="00A652AF"/>
    <w:rsid w:val="00A655E8"/>
    <w:rsid w:val="00A65ECF"/>
    <w:rsid w:val="00A663E8"/>
    <w:rsid w:val="00A668F1"/>
    <w:rsid w:val="00A66B1E"/>
    <w:rsid w:val="00A67488"/>
    <w:rsid w:val="00A70190"/>
    <w:rsid w:val="00A7066D"/>
    <w:rsid w:val="00A706B5"/>
    <w:rsid w:val="00A70B46"/>
    <w:rsid w:val="00A71CD5"/>
    <w:rsid w:val="00A72802"/>
    <w:rsid w:val="00A7392C"/>
    <w:rsid w:val="00A7392D"/>
    <w:rsid w:val="00A73BE6"/>
    <w:rsid w:val="00A73D37"/>
    <w:rsid w:val="00A75119"/>
    <w:rsid w:val="00A768F9"/>
    <w:rsid w:val="00A76D86"/>
    <w:rsid w:val="00A7713C"/>
    <w:rsid w:val="00A80350"/>
    <w:rsid w:val="00A80D69"/>
    <w:rsid w:val="00A811C5"/>
    <w:rsid w:val="00A81E8F"/>
    <w:rsid w:val="00A82118"/>
    <w:rsid w:val="00A829CC"/>
    <w:rsid w:val="00A82B4A"/>
    <w:rsid w:val="00A832CC"/>
    <w:rsid w:val="00A8342A"/>
    <w:rsid w:val="00A83D34"/>
    <w:rsid w:val="00A83E5C"/>
    <w:rsid w:val="00A84807"/>
    <w:rsid w:val="00A850FB"/>
    <w:rsid w:val="00A860B4"/>
    <w:rsid w:val="00A8672C"/>
    <w:rsid w:val="00A87027"/>
    <w:rsid w:val="00A874E1"/>
    <w:rsid w:val="00A87CB0"/>
    <w:rsid w:val="00A910B1"/>
    <w:rsid w:val="00A9131D"/>
    <w:rsid w:val="00A9275B"/>
    <w:rsid w:val="00A92D73"/>
    <w:rsid w:val="00A94C1D"/>
    <w:rsid w:val="00A94CC5"/>
    <w:rsid w:val="00A95980"/>
    <w:rsid w:val="00A967F5"/>
    <w:rsid w:val="00A977E0"/>
    <w:rsid w:val="00AA0029"/>
    <w:rsid w:val="00AA0475"/>
    <w:rsid w:val="00AA0CDA"/>
    <w:rsid w:val="00AA1057"/>
    <w:rsid w:val="00AA121D"/>
    <w:rsid w:val="00AA1481"/>
    <w:rsid w:val="00AA171F"/>
    <w:rsid w:val="00AA2723"/>
    <w:rsid w:val="00AA27B2"/>
    <w:rsid w:val="00AA390D"/>
    <w:rsid w:val="00AA4D9F"/>
    <w:rsid w:val="00AA5FCE"/>
    <w:rsid w:val="00AA75EA"/>
    <w:rsid w:val="00AA77F4"/>
    <w:rsid w:val="00AA7C7C"/>
    <w:rsid w:val="00AB018A"/>
    <w:rsid w:val="00AB088A"/>
    <w:rsid w:val="00AB1B67"/>
    <w:rsid w:val="00AB2799"/>
    <w:rsid w:val="00AB27CF"/>
    <w:rsid w:val="00AB3C17"/>
    <w:rsid w:val="00AB3D11"/>
    <w:rsid w:val="00AB59B4"/>
    <w:rsid w:val="00AB5B3A"/>
    <w:rsid w:val="00AB775E"/>
    <w:rsid w:val="00AB77A8"/>
    <w:rsid w:val="00AB7A2D"/>
    <w:rsid w:val="00AC087F"/>
    <w:rsid w:val="00AC0917"/>
    <w:rsid w:val="00AC1EFC"/>
    <w:rsid w:val="00AC2359"/>
    <w:rsid w:val="00AC2386"/>
    <w:rsid w:val="00AC2722"/>
    <w:rsid w:val="00AC2B22"/>
    <w:rsid w:val="00AC2C23"/>
    <w:rsid w:val="00AC2FAE"/>
    <w:rsid w:val="00AC35F7"/>
    <w:rsid w:val="00AC392F"/>
    <w:rsid w:val="00AC3ED9"/>
    <w:rsid w:val="00AC54EE"/>
    <w:rsid w:val="00AC5C75"/>
    <w:rsid w:val="00AC5EFF"/>
    <w:rsid w:val="00AC6488"/>
    <w:rsid w:val="00AC651D"/>
    <w:rsid w:val="00AC6AF1"/>
    <w:rsid w:val="00AC70A9"/>
    <w:rsid w:val="00AC7585"/>
    <w:rsid w:val="00AC7EFE"/>
    <w:rsid w:val="00AD1023"/>
    <w:rsid w:val="00AD2463"/>
    <w:rsid w:val="00AD25FF"/>
    <w:rsid w:val="00AD3F49"/>
    <w:rsid w:val="00AD496B"/>
    <w:rsid w:val="00AD4F02"/>
    <w:rsid w:val="00AD53CD"/>
    <w:rsid w:val="00AD64BF"/>
    <w:rsid w:val="00AD717E"/>
    <w:rsid w:val="00AD75E3"/>
    <w:rsid w:val="00AD77F1"/>
    <w:rsid w:val="00AD7A2D"/>
    <w:rsid w:val="00AD7B9C"/>
    <w:rsid w:val="00AD7F43"/>
    <w:rsid w:val="00AE033B"/>
    <w:rsid w:val="00AE0E23"/>
    <w:rsid w:val="00AE1698"/>
    <w:rsid w:val="00AE1912"/>
    <w:rsid w:val="00AE1FAC"/>
    <w:rsid w:val="00AE2BC9"/>
    <w:rsid w:val="00AE3B44"/>
    <w:rsid w:val="00AE40DC"/>
    <w:rsid w:val="00AE4B1A"/>
    <w:rsid w:val="00AE4BB5"/>
    <w:rsid w:val="00AE4C28"/>
    <w:rsid w:val="00AE521B"/>
    <w:rsid w:val="00AE577F"/>
    <w:rsid w:val="00AE6758"/>
    <w:rsid w:val="00AE68E6"/>
    <w:rsid w:val="00AE7486"/>
    <w:rsid w:val="00AE7660"/>
    <w:rsid w:val="00AF06EB"/>
    <w:rsid w:val="00AF0DC7"/>
    <w:rsid w:val="00AF17CD"/>
    <w:rsid w:val="00AF1A8A"/>
    <w:rsid w:val="00AF1CC8"/>
    <w:rsid w:val="00AF2C2C"/>
    <w:rsid w:val="00AF4372"/>
    <w:rsid w:val="00AF4BB9"/>
    <w:rsid w:val="00AF5364"/>
    <w:rsid w:val="00AF571D"/>
    <w:rsid w:val="00AF587B"/>
    <w:rsid w:val="00AF5995"/>
    <w:rsid w:val="00B0046E"/>
    <w:rsid w:val="00B0097C"/>
    <w:rsid w:val="00B01ECF"/>
    <w:rsid w:val="00B03AA6"/>
    <w:rsid w:val="00B109EB"/>
    <w:rsid w:val="00B10DC2"/>
    <w:rsid w:val="00B114D8"/>
    <w:rsid w:val="00B11627"/>
    <w:rsid w:val="00B117E8"/>
    <w:rsid w:val="00B13094"/>
    <w:rsid w:val="00B13262"/>
    <w:rsid w:val="00B13693"/>
    <w:rsid w:val="00B14A81"/>
    <w:rsid w:val="00B15EE0"/>
    <w:rsid w:val="00B1662A"/>
    <w:rsid w:val="00B172FC"/>
    <w:rsid w:val="00B17497"/>
    <w:rsid w:val="00B17C26"/>
    <w:rsid w:val="00B221B8"/>
    <w:rsid w:val="00B228D7"/>
    <w:rsid w:val="00B22DAD"/>
    <w:rsid w:val="00B2398B"/>
    <w:rsid w:val="00B23A69"/>
    <w:rsid w:val="00B246FA"/>
    <w:rsid w:val="00B24960"/>
    <w:rsid w:val="00B254A6"/>
    <w:rsid w:val="00B26A2E"/>
    <w:rsid w:val="00B27020"/>
    <w:rsid w:val="00B274CA"/>
    <w:rsid w:val="00B27901"/>
    <w:rsid w:val="00B2791A"/>
    <w:rsid w:val="00B307E3"/>
    <w:rsid w:val="00B31179"/>
    <w:rsid w:val="00B312D2"/>
    <w:rsid w:val="00B3154B"/>
    <w:rsid w:val="00B32ADE"/>
    <w:rsid w:val="00B32B83"/>
    <w:rsid w:val="00B339BD"/>
    <w:rsid w:val="00B33D1B"/>
    <w:rsid w:val="00B33E8B"/>
    <w:rsid w:val="00B34631"/>
    <w:rsid w:val="00B34D2F"/>
    <w:rsid w:val="00B35317"/>
    <w:rsid w:val="00B358F3"/>
    <w:rsid w:val="00B35C24"/>
    <w:rsid w:val="00B36E14"/>
    <w:rsid w:val="00B37FEC"/>
    <w:rsid w:val="00B400D0"/>
    <w:rsid w:val="00B405B7"/>
    <w:rsid w:val="00B411EC"/>
    <w:rsid w:val="00B435F3"/>
    <w:rsid w:val="00B43F62"/>
    <w:rsid w:val="00B44209"/>
    <w:rsid w:val="00B44932"/>
    <w:rsid w:val="00B4563E"/>
    <w:rsid w:val="00B4677E"/>
    <w:rsid w:val="00B472F2"/>
    <w:rsid w:val="00B4784D"/>
    <w:rsid w:val="00B47C17"/>
    <w:rsid w:val="00B47CE9"/>
    <w:rsid w:val="00B50DD0"/>
    <w:rsid w:val="00B50EAB"/>
    <w:rsid w:val="00B51540"/>
    <w:rsid w:val="00B5156B"/>
    <w:rsid w:val="00B526F6"/>
    <w:rsid w:val="00B52D7B"/>
    <w:rsid w:val="00B5378B"/>
    <w:rsid w:val="00B53916"/>
    <w:rsid w:val="00B53FDC"/>
    <w:rsid w:val="00B55E86"/>
    <w:rsid w:val="00B563A4"/>
    <w:rsid w:val="00B56778"/>
    <w:rsid w:val="00B56D11"/>
    <w:rsid w:val="00B57BBC"/>
    <w:rsid w:val="00B600A6"/>
    <w:rsid w:val="00B60F37"/>
    <w:rsid w:val="00B612DE"/>
    <w:rsid w:val="00B6194D"/>
    <w:rsid w:val="00B627EE"/>
    <w:rsid w:val="00B6301A"/>
    <w:rsid w:val="00B63621"/>
    <w:rsid w:val="00B654F8"/>
    <w:rsid w:val="00B656A3"/>
    <w:rsid w:val="00B667C7"/>
    <w:rsid w:val="00B672B6"/>
    <w:rsid w:val="00B70134"/>
    <w:rsid w:val="00B7015D"/>
    <w:rsid w:val="00B70E8D"/>
    <w:rsid w:val="00B711A2"/>
    <w:rsid w:val="00B71407"/>
    <w:rsid w:val="00B72E81"/>
    <w:rsid w:val="00B73C88"/>
    <w:rsid w:val="00B75077"/>
    <w:rsid w:val="00B750AD"/>
    <w:rsid w:val="00B76135"/>
    <w:rsid w:val="00B76238"/>
    <w:rsid w:val="00B76DE8"/>
    <w:rsid w:val="00B77595"/>
    <w:rsid w:val="00B77B42"/>
    <w:rsid w:val="00B800E3"/>
    <w:rsid w:val="00B80AC0"/>
    <w:rsid w:val="00B80D5C"/>
    <w:rsid w:val="00B80EC5"/>
    <w:rsid w:val="00B81064"/>
    <w:rsid w:val="00B82061"/>
    <w:rsid w:val="00B83D06"/>
    <w:rsid w:val="00B85CD7"/>
    <w:rsid w:val="00B87DB0"/>
    <w:rsid w:val="00B90833"/>
    <w:rsid w:val="00B91258"/>
    <w:rsid w:val="00B91DB6"/>
    <w:rsid w:val="00B93614"/>
    <w:rsid w:val="00B948A0"/>
    <w:rsid w:val="00B96108"/>
    <w:rsid w:val="00B96159"/>
    <w:rsid w:val="00B96904"/>
    <w:rsid w:val="00B96C53"/>
    <w:rsid w:val="00B97B20"/>
    <w:rsid w:val="00BA097A"/>
    <w:rsid w:val="00BA0B26"/>
    <w:rsid w:val="00BA214C"/>
    <w:rsid w:val="00BA229A"/>
    <w:rsid w:val="00BA40DA"/>
    <w:rsid w:val="00BA5561"/>
    <w:rsid w:val="00BA58EE"/>
    <w:rsid w:val="00BA599B"/>
    <w:rsid w:val="00BA5E9C"/>
    <w:rsid w:val="00BA5FA9"/>
    <w:rsid w:val="00BA6F3D"/>
    <w:rsid w:val="00BB006B"/>
    <w:rsid w:val="00BB017B"/>
    <w:rsid w:val="00BB02D4"/>
    <w:rsid w:val="00BB0324"/>
    <w:rsid w:val="00BB0916"/>
    <w:rsid w:val="00BB124C"/>
    <w:rsid w:val="00BB1324"/>
    <w:rsid w:val="00BB1F42"/>
    <w:rsid w:val="00BB31E0"/>
    <w:rsid w:val="00BB3524"/>
    <w:rsid w:val="00BB3651"/>
    <w:rsid w:val="00BB4080"/>
    <w:rsid w:val="00BB5150"/>
    <w:rsid w:val="00BB5E15"/>
    <w:rsid w:val="00BB6B86"/>
    <w:rsid w:val="00BB6DB5"/>
    <w:rsid w:val="00BB7FF0"/>
    <w:rsid w:val="00BC140B"/>
    <w:rsid w:val="00BC28ED"/>
    <w:rsid w:val="00BC2A5D"/>
    <w:rsid w:val="00BC33DC"/>
    <w:rsid w:val="00BC3520"/>
    <w:rsid w:val="00BC37B5"/>
    <w:rsid w:val="00BC39A2"/>
    <w:rsid w:val="00BC3F9C"/>
    <w:rsid w:val="00BC4E47"/>
    <w:rsid w:val="00BC6049"/>
    <w:rsid w:val="00BC679B"/>
    <w:rsid w:val="00BC67E8"/>
    <w:rsid w:val="00BD040F"/>
    <w:rsid w:val="00BD16F1"/>
    <w:rsid w:val="00BD1B5E"/>
    <w:rsid w:val="00BD2A91"/>
    <w:rsid w:val="00BD3307"/>
    <w:rsid w:val="00BD365E"/>
    <w:rsid w:val="00BD36B6"/>
    <w:rsid w:val="00BD41B4"/>
    <w:rsid w:val="00BD4AD8"/>
    <w:rsid w:val="00BD4E52"/>
    <w:rsid w:val="00BD4E87"/>
    <w:rsid w:val="00BD64D6"/>
    <w:rsid w:val="00BD6CD8"/>
    <w:rsid w:val="00BD78C2"/>
    <w:rsid w:val="00BD7978"/>
    <w:rsid w:val="00BE0557"/>
    <w:rsid w:val="00BE1C1E"/>
    <w:rsid w:val="00BE1DD7"/>
    <w:rsid w:val="00BE1F49"/>
    <w:rsid w:val="00BE200E"/>
    <w:rsid w:val="00BE3E85"/>
    <w:rsid w:val="00BE4B2D"/>
    <w:rsid w:val="00BE6DDE"/>
    <w:rsid w:val="00BE71BB"/>
    <w:rsid w:val="00BE7910"/>
    <w:rsid w:val="00BF07A7"/>
    <w:rsid w:val="00BF1158"/>
    <w:rsid w:val="00BF13FA"/>
    <w:rsid w:val="00BF1B61"/>
    <w:rsid w:val="00BF1D60"/>
    <w:rsid w:val="00BF2B21"/>
    <w:rsid w:val="00BF3971"/>
    <w:rsid w:val="00BF56CC"/>
    <w:rsid w:val="00BF572A"/>
    <w:rsid w:val="00BF588F"/>
    <w:rsid w:val="00BF63A8"/>
    <w:rsid w:val="00BF7410"/>
    <w:rsid w:val="00BF79AC"/>
    <w:rsid w:val="00BF7B08"/>
    <w:rsid w:val="00C0062A"/>
    <w:rsid w:val="00C00FC6"/>
    <w:rsid w:val="00C012B3"/>
    <w:rsid w:val="00C01C99"/>
    <w:rsid w:val="00C024CF"/>
    <w:rsid w:val="00C058CB"/>
    <w:rsid w:val="00C10120"/>
    <w:rsid w:val="00C101A9"/>
    <w:rsid w:val="00C107BF"/>
    <w:rsid w:val="00C12958"/>
    <w:rsid w:val="00C12E28"/>
    <w:rsid w:val="00C12FD2"/>
    <w:rsid w:val="00C13656"/>
    <w:rsid w:val="00C14727"/>
    <w:rsid w:val="00C14A2E"/>
    <w:rsid w:val="00C14DFC"/>
    <w:rsid w:val="00C159F5"/>
    <w:rsid w:val="00C16BFA"/>
    <w:rsid w:val="00C16FC1"/>
    <w:rsid w:val="00C1717E"/>
    <w:rsid w:val="00C172ED"/>
    <w:rsid w:val="00C17703"/>
    <w:rsid w:val="00C2028C"/>
    <w:rsid w:val="00C2276F"/>
    <w:rsid w:val="00C22DF5"/>
    <w:rsid w:val="00C22F27"/>
    <w:rsid w:val="00C22FEE"/>
    <w:rsid w:val="00C23135"/>
    <w:rsid w:val="00C24490"/>
    <w:rsid w:val="00C24EE3"/>
    <w:rsid w:val="00C2634B"/>
    <w:rsid w:val="00C300C5"/>
    <w:rsid w:val="00C312FA"/>
    <w:rsid w:val="00C32652"/>
    <w:rsid w:val="00C33310"/>
    <w:rsid w:val="00C347BF"/>
    <w:rsid w:val="00C37324"/>
    <w:rsid w:val="00C37BA8"/>
    <w:rsid w:val="00C37CEC"/>
    <w:rsid w:val="00C37CF9"/>
    <w:rsid w:val="00C40A59"/>
    <w:rsid w:val="00C415B4"/>
    <w:rsid w:val="00C4255D"/>
    <w:rsid w:val="00C42A53"/>
    <w:rsid w:val="00C42B7C"/>
    <w:rsid w:val="00C42BF2"/>
    <w:rsid w:val="00C42FCB"/>
    <w:rsid w:val="00C43F12"/>
    <w:rsid w:val="00C44815"/>
    <w:rsid w:val="00C465BB"/>
    <w:rsid w:val="00C46C28"/>
    <w:rsid w:val="00C46CAA"/>
    <w:rsid w:val="00C46E72"/>
    <w:rsid w:val="00C47831"/>
    <w:rsid w:val="00C50BE2"/>
    <w:rsid w:val="00C52214"/>
    <w:rsid w:val="00C52568"/>
    <w:rsid w:val="00C52615"/>
    <w:rsid w:val="00C52B1C"/>
    <w:rsid w:val="00C53103"/>
    <w:rsid w:val="00C53B52"/>
    <w:rsid w:val="00C561E9"/>
    <w:rsid w:val="00C5650B"/>
    <w:rsid w:val="00C572EF"/>
    <w:rsid w:val="00C57CC8"/>
    <w:rsid w:val="00C60299"/>
    <w:rsid w:val="00C6055D"/>
    <w:rsid w:val="00C60A29"/>
    <w:rsid w:val="00C60AC1"/>
    <w:rsid w:val="00C619BC"/>
    <w:rsid w:val="00C626A1"/>
    <w:rsid w:val="00C63B7E"/>
    <w:rsid w:val="00C64014"/>
    <w:rsid w:val="00C640CD"/>
    <w:rsid w:val="00C64717"/>
    <w:rsid w:val="00C6511B"/>
    <w:rsid w:val="00C653C6"/>
    <w:rsid w:val="00C65400"/>
    <w:rsid w:val="00C658FD"/>
    <w:rsid w:val="00C659F6"/>
    <w:rsid w:val="00C65D53"/>
    <w:rsid w:val="00C66A4A"/>
    <w:rsid w:val="00C672C0"/>
    <w:rsid w:val="00C67384"/>
    <w:rsid w:val="00C72172"/>
    <w:rsid w:val="00C72444"/>
    <w:rsid w:val="00C7267D"/>
    <w:rsid w:val="00C74F87"/>
    <w:rsid w:val="00C75588"/>
    <w:rsid w:val="00C76C7F"/>
    <w:rsid w:val="00C76F4D"/>
    <w:rsid w:val="00C8012C"/>
    <w:rsid w:val="00C80AD5"/>
    <w:rsid w:val="00C831F0"/>
    <w:rsid w:val="00C8373B"/>
    <w:rsid w:val="00C8384B"/>
    <w:rsid w:val="00C83CA1"/>
    <w:rsid w:val="00C84563"/>
    <w:rsid w:val="00C84F81"/>
    <w:rsid w:val="00C85282"/>
    <w:rsid w:val="00C85544"/>
    <w:rsid w:val="00C85753"/>
    <w:rsid w:val="00C8682A"/>
    <w:rsid w:val="00C873EE"/>
    <w:rsid w:val="00C91115"/>
    <w:rsid w:val="00C913CA"/>
    <w:rsid w:val="00C914CA"/>
    <w:rsid w:val="00C91640"/>
    <w:rsid w:val="00C9215D"/>
    <w:rsid w:val="00C92526"/>
    <w:rsid w:val="00C9474F"/>
    <w:rsid w:val="00C956CE"/>
    <w:rsid w:val="00C961A7"/>
    <w:rsid w:val="00C96838"/>
    <w:rsid w:val="00C96CA3"/>
    <w:rsid w:val="00C972A4"/>
    <w:rsid w:val="00C97643"/>
    <w:rsid w:val="00CA1531"/>
    <w:rsid w:val="00CA33D1"/>
    <w:rsid w:val="00CA39DC"/>
    <w:rsid w:val="00CA3BF4"/>
    <w:rsid w:val="00CA4560"/>
    <w:rsid w:val="00CA64F6"/>
    <w:rsid w:val="00CA6B2C"/>
    <w:rsid w:val="00CA7016"/>
    <w:rsid w:val="00CA7987"/>
    <w:rsid w:val="00CA7B34"/>
    <w:rsid w:val="00CB0717"/>
    <w:rsid w:val="00CB0961"/>
    <w:rsid w:val="00CB1838"/>
    <w:rsid w:val="00CB1D78"/>
    <w:rsid w:val="00CB3AAA"/>
    <w:rsid w:val="00CB3CE6"/>
    <w:rsid w:val="00CB3DAC"/>
    <w:rsid w:val="00CB3EAC"/>
    <w:rsid w:val="00CB4340"/>
    <w:rsid w:val="00CB43FD"/>
    <w:rsid w:val="00CB694C"/>
    <w:rsid w:val="00CB7390"/>
    <w:rsid w:val="00CB782D"/>
    <w:rsid w:val="00CB7A47"/>
    <w:rsid w:val="00CC0145"/>
    <w:rsid w:val="00CC0681"/>
    <w:rsid w:val="00CC18AD"/>
    <w:rsid w:val="00CC191A"/>
    <w:rsid w:val="00CC2139"/>
    <w:rsid w:val="00CC49B3"/>
    <w:rsid w:val="00CC562B"/>
    <w:rsid w:val="00CC565D"/>
    <w:rsid w:val="00CC5683"/>
    <w:rsid w:val="00CC56D1"/>
    <w:rsid w:val="00CC5E81"/>
    <w:rsid w:val="00CC5F13"/>
    <w:rsid w:val="00CC6F65"/>
    <w:rsid w:val="00CC71A3"/>
    <w:rsid w:val="00CC77B9"/>
    <w:rsid w:val="00CC7B9C"/>
    <w:rsid w:val="00CD11BF"/>
    <w:rsid w:val="00CD1396"/>
    <w:rsid w:val="00CD1E1B"/>
    <w:rsid w:val="00CD258E"/>
    <w:rsid w:val="00CD2F9D"/>
    <w:rsid w:val="00CD3449"/>
    <w:rsid w:val="00CD35C3"/>
    <w:rsid w:val="00CD4B41"/>
    <w:rsid w:val="00CD4C60"/>
    <w:rsid w:val="00CD5238"/>
    <w:rsid w:val="00CD52DA"/>
    <w:rsid w:val="00CD5BB7"/>
    <w:rsid w:val="00CD6036"/>
    <w:rsid w:val="00CD609E"/>
    <w:rsid w:val="00CD654D"/>
    <w:rsid w:val="00CD6EF0"/>
    <w:rsid w:val="00CD70F0"/>
    <w:rsid w:val="00CD7223"/>
    <w:rsid w:val="00CD7224"/>
    <w:rsid w:val="00CD7A75"/>
    <w:rsid w:val="00CD7F4A"/>
    <w:rsid w:val="00CE0E19"/>
    <w:rsid w:val="00CE0FDC"/>
    <w:rsid w:val="00CE13E9"/>
    <w:rsid w:val="00CE161F"/>
    <w:rsid w:val="00CE1E92"/>
    <w:rsid w:val="00CE27BA"/>
    <w:rsid w:val="00CE2900"/>
    <w:rsid w:val="00CE2E02"/>
    <w:rsid w:val="00CE3368"/>
    <w:rsid w:val="00CE5DA4"/>
    <w:rsid w:val="00CE6123"/>
    <w:rsid w:val="00CF0BEC"/>
    <w:rsid w:val="00CF14E3"/>
    <w:rsid w:val="00CF15E1"/>
    <w:rsid w:val="00CF1B80"/>
    <w:rsid w:val="00CF2609"/>
    <w:rsid w:val="00CF30E0"/>
    <w:rsid w:val="00CF3E07"/>
    <w:rsid w:val="00CF4181"/>
    <w:rsid w:val="00CF56D2"/>
    <w:rsid w:val="00CF6A56"/>
    <w:rsid w:val="00CF70EB"/>
    <w:rsid w:val="00D01E16"/>
    <w:rsid w:val="00D02706"/>
    <w:rsid w:val="00D0511C"/>
    <w:rsid w:val="00D05D77"/>
    <w:rsid w:val="00D063DA"/>
    <w:rsid w:val="00D06494"/>
    <w:rsid w:val="00D06612"/>
    <w:rsid w:val="00D06673"/>
    <w:rsid w:val="00D100EE"/>
    <w:rsid w:val="00D10286"/>
    <w:rsid w:val="00D10661"/>
    <w:rsid w:val="00D1135B"/>
    <w:rsid w:val="00D114AA"/>
    <w:rsid w:val="00D11F85"/>
    <w:rsid w:val="00D120D3"/>
    <w:rsid w:val="00D123DC"/>
    <w:rsid w:val="00D12819"/>
    <w:rsid w:val="00D1422E"/>
    <w:rsid w:val="00D148FC"/>
    <w:rsid w:val="00D14BB9"/>
    <w:rsid w:val="00D167A2"/>
    <w:rsid w:val="00D170CA"/>
    <w:rsid w:val="00D17578"/>
    <w:rsid w:val="00D17C07"/>
    <w:rsid w:val="00D20287"/>
    <w:rsid w:val="00D20C92"/>
    <w:rsid w:val="00D20E08"/>
    <w:rsid w:val="00D215C4"/>
    <w:rsid w:val="00D2184D"/>
    <w:rsid w:val="00D21AB4"/>
    <w:rsid w:val="00D21F03"/>
    <w:rsid w:val="00D23495"/>
    <w:rsid w:val="00D23607"/>
    <w:rsid w:val="00D23967"/>
    <w:rsid w:val="00D23EA6"/>
    <w:rsid w:val="00D2698D"/>
    <w:rsid w:val="00D27085"/>
    <w:rsid w:val="00D27BBE"/>
    <w:rsid w:val="00D306AE"/>
    <w:rsid w:val="00D31A17"/>
    <w:rsid w:val="00D32889"/>
    <w:rsid w:val="00D328D2"/>
    <w:rsid w:val="00D33A7E"/>
    <w:rsid w:val="00D3457A"/>
    <w:rsid w:val="00D34892"/>
    <w:rsid w:val="00D35EFD"/>
    <w:rsid w:val="00D40207"/>
    <w:rsid w:val="00D40A6E"/>
    <w:rsid w:val="00D4134C"/>
    <w:rsid w:val="00D41685"/>
    <w:rsid w:val="00D4273B"/>
    <w:rsid w:val="00D42A1C"/>
    <w:rsid w:val="00D433A2"/>
    <w:rsid w:val="00D43E06"/>
    <w:rsid w:val="00D442DD"/>
    <w:rsid w:val="00D446A9"/>
    <w:rsid w:val="00D44B4A"/>
    <w:rsid w:val="00D453EA"/>
    <w:rsid w:val="00D45BE7"/>
    <w:rsid w:val="00D46131"/>
    <w:rsid w:val="00D461E4"/>
    <w:rsid w:val="00D46423"/>
    <w:rsid w:val="00D4661B"/>
    <w:rsid w:val="00D476EE"/>
    <w:rsid w:val="00D51FE2"/>
    <w:rsid w:val="00D52E3E"/>
    <w:rsid w:val="00D535A4"/>
    <w:rsid w:val="00D5424D"/>
    <w:rsid w:val="00D55846"/>
    <w:rsid w:val="00D57CD9"/>
    <w:rsid w:val="00D627D0"/>
    <w:rsid w:val="00D63ABD"/>
    <w:rsid w:val="00D63C69"/>
    <w:rsid w:val="00D63DE8"/>
    <w:rsid w:val="00D646DC"/>
    <w:rsid w:val="00D6474F"/>
    <w:rsid w:val="00D64895"/>
    <w:rsid w:val="00D64E23"/>
    <w:rsid w:val="00D66034"/>
    <w:rsid w:val="00D665C6"/>
    <w:rsid w:val="00D666D8"/>
    <w:rsid w:val="00D66A11"/>
    <w:rsid w:val="00D67DB8"/>
    <w:rsid w:val="00D70340"/>
    <w:rsid w:val="00D707EE"/>
    <w:rsid w:val="00D72991"/>
    <w:rsid w:val="00D73A19"/>
    <w:rsid w:val="00D757C4"/>
    <w:rsid w:val="00D76116"/>
    <w:rsid w:val="00D76263"/>
    <w:rsid w:val="00D76928"/>
    <w:rsid w:val="00D76DAF"/>
    <w:rsid w:val="00D7760D"/>
    <w:rsid w:val="00D779B1"/>
    <w:rsid w:val="00D779CC"/>
    <w:rsid w:val="00D77ACB"/>
    <w:rsid w:val="00D82478"/>
    <w:rsid w:val="00D8254F"/>
    <w:rsid w:val="00D82D5E"/>
    <w:rsid w:val="00D84751"/>
    <w:rsid w:val="00D84A5F"/>
    <w:rsid w:val="00D87A0F"/>
    <w:rsid w:val="00D90F83"/>
    <w:rsid w:val="00D910FF"/>
    <w:rsid w:val="00D91345"/>
    <w:rsid w:val="00D9192B"/>
    <w:rsid w:val="00D9384B"/>
    <w:rsid w:val="00D93E82"/>
    <w:rsid w:val="00D9568E"/>
    <w:rsid w:val="00D966CA"/>
    <w:rsid w:val="00D96E39"/>
    <w:rsid w:val="00D97582"/>
    <w:rsid w:val="00D97B86"/>
    <w:rsid w:val="00DA00AF"/>
    <w:rsid w:val="00DA0D5B"/>
    <w:rsid w:val="00DA1773"/>
    <w:rsid w:val="00DA3668"/>
    <w:rsid w:val="00DA3E69"/>
    <w:rsid w:val="00DA4730"/>
    <w:rsid w:val="00DA4EE5"/>
    <w:rsid w:val="00DA4F2B"/>
    <w:rsid w:val="00DA511A"/>
    <w:rsid w:val="00DA66D4"/>
    <w:rsid w:val="00DA7620"/>
    <w:rsid w:val="00DA79F3"/>
    <w:rsid w:val="00DB004F"/>
    <w:rsid w:val="00DB06FD"/>
    <w:rsid w:val="00DB13DD"/>
    <w:rsid w:val="00DB1AD6"/>
    <w:rsid w:val="00DB1B9C"/>
    <w:rsid w:val="00DB1EC9"/>
    <w:rsid w:val="00DB1F4C"/>
    <w:rsid w:val="00DB2722"/>
    <w:rsid w:val="00DB328B"/>
    <w:rsid w:val="00DB36AE"/>
    <w:rsid w:val="00DB399C"/>
    <w:rsid w:val="00DB420D"/>
    <w:rsid w:val="00DB4963"/>
    <w:rsid w:val="00DB6C76"/>
    <w:rsid w:val="00DB73A7"/>
    <w:rsid w:val="00DB760C"/>
    <w:rsid w:val="00DC1074"/>
    <w:rsid w:val="00DC1AE1"/>
    <w:rsid w:val="00DC29D9"/>
    <w:rsid w:val="00DC2A64"/>
    <w:rsid w:val="00DC2CDA"/>
    <w:rsid w:val="00DC49FE"/>
    <w:rsid w:val="00DC4C03"/>
    <w:rsid w:val="00DC512D"/>
    <w:rsid w:val="00DC639E"/>
    <w:rsid w:val="00DC65EF"/>
    <w:rsid w:val="00DC791C"/>
    <w:rsid w:val="00DC7D2E"/>
    <w:rsid w:val="00DC7DC5"/>
    <w:rsid w:val="00DD0920"/>
    <w:rsid w:val="00DD2213"/>
    <w:rsid w:val="00DD28FE"/>
    <w:rsid w:val="00DD2C8D"/>
    <w:rsid w:val="00DD3612"/>
    <w:rsid w:val="00DD3BAC"/>
    <w:rsid w:val="00DD4343"/>
    <w:rsid w:val="00DD620E"/>
    <w:rsid w:val="00DD798B"/>
    <w:rsid w:val="00DE0521"/>
    <w:rsid w:val="00DE0BA5"/>
    <w:rsid w:val="00DE1409"/>
    <w:rsid w:val="00DE41F0"/>
    <w:rsid w:val="00DE48A5"/>
    <w:rsid w:val="00DE4BA6"/>
    <w:rsid w:val="00DE4FA5"/>
    <w:rsid w:val="00DE58B7"/>
    <w:rsid w:val="00DE5CC3"/>
    <w:rsid w:val="00DE603E"/>
    <w:rsid w:val="00DE7005"/>
    <w:rsid w:val="00DF03A7"/>
    <w:rsid w:val="00DF1B92"/>
    <w:rsid w:val="00DF1C10"/>
    <w:rsid w:val="00DF23E9"/>
    <w:rsid w:val="00DF2926"/>
    <w:rsid w:val="00DF2D58"/>
    <w:rsid w:val="00DF2EE1"/>
    <w:rsid w:val="00DF3145"/>
    <w:rsid w:val="00DF3677"/>
    <w:rsid w:val="00DF3E84"/>
    <w:rsid w:val="00DF5CCD"/>
    <w:rsid w:val="00DF671A"/>
    <w:rsid w:val="00E0016C"/>
    <w:rsid w:val="00E00CA4"/>
    <w:rsid w:val="00E01DA1"/>
    <w:rsid w:val="00E022D4"/>
    <w:rsid w:val="00E023B4"/>
    <w:rsid w:val="00E0267B"/>
    <w:rsid w:val="00E02F51"/>
    <w:rsid w:val="00E03FFD"/>
    <w:rsid w:val="00E04E35"/>
    <w:rsid w:val="00E05A21"/>
    <w:rsid w:val="00E0616F"/>
    <w:rsid w:val="00E06512"/>
    <w:rsid w:val="00E07666"/>
    <w:rsid w:val="00E07758"/>
    <w:rsid w:val="00E122A9"/>
    <w:rsid w:val="00E1251F"/>
    <w:rsid w:val="00E12813"/>
    <w:rsid w:val="00E1378C"/>
    <w:rsid w:val="00E13C82"/>
    <w:rsid w:val="00E13DE9"/>
    <w:rsid w:val="00E145E1"/>
    <w:rsid w:val="00E15490"/>
    <w:rsid w:val="00E16BE6"/>
    <w:rsid w:val="00E16DB0"/>
    <w:rsid w:val="00E17912"/>
    <w:rsid w:val="00E17A9F"/>
    <w:rsid w:val="00E17DD5"/>
    <w:rsid w:val="00E17F73"/>
    <w:rsid w:val="00E20CD1"/>
    <w:rsid w:val="00E21DBF"/>
    <w:rsid w:val="00E22022"/>
    <w:rsid w:val="00E22344"/>
    <w:rsid w:val="00E227B2"/>
    <w:rsid w:val="00E2298C"/>
    <w:rsid w:val="00E231F8"/>
    <w:rsid w:val="00E2369B"/>
    <w:rsid w:val="00E23CDC"/>
    <w:rsid w:val="00E2463C"/>
    <w:rsid w:val="00E248B3"/>
    <w:rsid w:val="00E24DEA"/>
    <w:rsid w:val="00E24E45"/>
    <w:rsid w:val="00E24F82"/>
    <w:rsid w:val="00E26C3F"/>
    <w:rsid w:val="00E26F79"/>
    <w:rsid w:val="00E27650"/>
    <w:rsid w:val="00E30592"/>
    <w:rsid w:val="00E31AC2"/>
    <w:rsid w:val="00E328BA"/>
    <w:rsid w:val="00E3329C"/>
    <w:rsid w:val="00E3351F"/>
    <w:rsid w:val="00E34054"/>
    <w:rsid w:val="00E34836"/>
    <w:rsid w:val="00E35852"/>
    <w:rsid w:val="00E3621D"/>
    <w:rsid w:val="00E3740D"/>
    <w:rsid w:val="00E3767B"/>
    <w:rsid w:val="00E405CE"/>
    <w:rsid w:val="00E4091B"/>
    <w:rsid w:val="00E41340"/>
    <w:rsid w:val="00E433FB"/>
    <w:rsid w:val="00E43E79"/>
    <w:rsid w:val="00E4431B"/>
    <w:rsid w:val="00E474D9"/>
    <w:rsid w:val="00E52E35"/>
    <w:rsid w:val="00E53624"/>
    <w:rsid w:val="00E539C2"/>
    <w:rsid w:val="00E54570"/>
    <w:rsid w:val="00E54694"/>
    <w:rsid w:val="00E54DE5"/>
    <w:rsid w:val="00E57953"/>
    <w:rsid w:val="00E57EBD"/>
    <w:rsid w:val="00E6006D"/>
    <w:rsid w:val="00E60920"/>
    <w:rsid w:val="00E60A3D"/>
    <w:rsid w:val="00E60BC4"/>
    <w:rsid w:val="00E60D04"/>
    <w:rsid w:val="00E61A3E"/>
    <w:rsid w:val="00E61AAE"/>
    <w:rsid w:val="00E6317D"/>
    <w:rsid w:val="00E63EEC"/>
    <w:rsid w:val="00E64325"/>
    <w:rsid w:val="00E64511"/>
    <w:rsid w:val="00E646E9"/>
    <w:rsid w:val="00E65F3F"/>
    <w:rsid w:val="00E66016"/>
    <w:rsid w:val="00E67394"/>
    <w:rsid w:val="00E6787E"/>
    <w:rsid w:val="00E67DC7"/>
    <w:rsid w:val="00E704B4"/>
    <w:rsid w:val="00E70583"/>
    <w:rsid w:val="00E70A55"/>
    <w:rsid w:val="00E70FB8"/>
    <w:rsid w:val="00E71E74"/>
    <w:rsid w:val="00E71E94"/>
    <w:rsid w:val="00E71ECC"/>
    <w:rsid w:val="00E73ADE"/>
    <w:rsid w:val="00E74594"/>
    <w:rsid w:val="00E76282"/>
    <w:rsid w:val="00E763CF"/>
    <w:rsid w:val="00E77AC7"/>
    <w:rsid w:val="00E77C46"/>
    <w:rsid w:val="00E802FB"/>
    <w:rsid w:val="00E8032F"/>
    <w:rsid w:val="00E8326C"/>
    <w:rsid w:val="00E836A8"/>
    <w:rsid w:val="00E83DAF"/>
    <w:rsid w:val="00E83E27"/>
    <w:rsid w:val="00E84207"/>
    <w:rsid w:val="00E85306"/>
    <w:rsid w:val="00E8581C"/>
    <w:rsid w:val="00E85871"/>
    <w:rsid w:val="00E85B75"/>
    <w:rsid w:val="00E86106"/>
    <w:rsid w:val="00E8610A"/>
    <w:rsid w:val="00E86C6C"/>
    <w:rsid w:val="00E909F1"/>
    <w:rsid w:val="00E90FB9"/>
    <w:rsid w:val="00E9140D"/>
    <w:rsid w:val="00E91751"/>
    <w:rsid w:val="00E92741"/>
    <w:rsid w:val="00E939FD"/>
    <w:rsid w:val="00E93D88"/>
    <w:rsid w:val="00E94C69"/>
    <w:rsid w:val="00E95BD2"/>
    <w:rsid w:val="00E95E01"/>
    <w:rsid w:val="00E96247"/>
    <w:rsid w:val="00E967E3"/>
    <w:rsid w:val="00E97175"/>
    <w:rsid w:val="00E9788C"/>
    <w:rsid w:val="00EA013D"/>
    <w:rsid w:val="00EA1F64"/>
    <w:rsid w:val="00EA35D5"/>
    <w:rsid w:val="00EA3639"/>
    <w:rsid w:val="00EA3C08"/>
    <w:rsid w:val="00EA45CF"/>
    <w:rsid w:val="00EA5B43"/>
    <w:rsid w:val="00EA5E9B"/>
    <w:rsid w:val="00EA5F82"/>
    <w:rsid w:val="00EA7ADD"/>
    <w:rsid w:val="00EA7D99"/>
    <w:rsid w:val="00EB00DC"/>
    <w:rsid w:val="00EB1388"/>
    <w:rsid w:val="00EB2210"/>
    <w:rsid w:val="00EB221F"/>
    <w:rsid w:val="00EB2519"/>
    <w:rsid w:val="00EB4CA1"/>
    <w:rsid w:val="00EB5FF8"/>
    <w:rsid w:val="00EB71CA"/>
    <w:rsid w:val="00EB7751"/>
    <w:rsid w:val="00EB7E27"/>
    <w:rsid w:val="00EC03C6"/>
    <w:rsid w:val="00EC0B0C"/>
    <w:rsid w:val="00EC2BE6"/>
    <w:rsid w:val="00EC35F9"/>
    <w:rsid w:val="00EC3FC2"/>
    <w:rsid w:val="00EC43B9"/>
    <w:rsid w:val="00EC52BB"/>
    <w:rsid w:val="00EC61B2"/>
    <w:rsid w:val="00EC7304"/>
    <w:rsid w:val="00EC750A"/>
    <w:rsid w:val="00EC7676"/>
    <w:rsid w:val="00ED05CA"/>
    <w:rsid w:val="00ED0F55"/>
    <w:rsid w:val="00ED2084"/>
    <w:rsid w:val="00ED2301"/>
    <w:rsid w:val="00ED2568"/>
    <w:rsid w:val="00ED2703"/>
    <w:rsid w:val="00ED2FBB"/>
    <w:rsid w:val="00ED4B0B"/>
    <w:rsid w:val="00ED52C1"/>
    <w:rsid w:val="00ED62E3"/>
    <w:rsid w:val="00ED630B"/>
    <w:rsid w:val="00ED7516"/>
    <w:rsid w:val="00ED7A1F"/>
    <w:rsid w:val="00ED7C3E"/>
    <w:rsid w:val="00EE0AE7"/>
    <w:rsid w:val="00EE0FA5"/>
    <w:rsid w:val="00EE107D"/>
    <w:rsid w:val="00EE2730"/>
    <w:rsid w:val="00EE3876"/>
    <w:rsid w:val="00EE5784"/>
    <w:rsid w:val="00EE6B7F"/>
    <w:rsid w:val="00EE734D"/>
    <w:rsid w:val="00EE76F1"/>
    <w:rsid w:val="00EF01BA"/>
    <w:rsid w:val="00EF061F"/>
    <w:rsid w:val="00EF14E9"/>
    <w:rsid w:val="00EF1CE1"/>
    <w:rsid w:val="00EF1F53"/>
    <w:rsid w:val="00EF2F04"/>
    <w:rsid w:val="00EF31B6"/>
    <w:rsid w:val="00EF3869"/>
    <w:rsid w:val="00EF45F4"/>
    <w:rsid w:val="00EF50CA"/>
    <w:rsid w:val="00EF7332"/>
    <w:rsid w:val="00EF74ED"/>
    <w:rsid w:val="00EF7DC2"/>
    <w:rsid w:val="00EF7ECC"/>
    <w:rsid w:val="00F00E71"/>
    <w:rsid w:val="00F0112E"/>
    <w:rsid w:val="00F011F2"/>
    <w:rsid w:val="00F01438"/>
    <w:rsid w:val="00F02962"/>
    <w:rsid w:val="00F02E78"/>
    <w:rsid w:val="00F03105"/>
    <w:rsid w:val="00F032AF"/>
    <w:rsid w:val="00F03D93"/>
    <w:rsid w:val="00F0538D"/>
    <w:rsid w:val="00F071AA"/>
    <w:rsid w:val="00F10773"/>
    <w:rsid w:val="00F10F9C"/>
    <w:rsid w:val="00F1105B"/>
    <w:rsid w:val="00F11138"/>
    <w:rsid w:val="00F113DB"/>
    <w:rsid w:val="00F1164A"/>
    <w:rsid w:val="00F1279F"/>
    <w:rsid w:val="00F132DE"/>
    <w:rsid w:val="00F13C75"/>
    <w:rsid w:val="00F14492"/>
    <w:rsid w:val="00F14495"/>
    <w:rsid w:val="00F15CDB"/>
    <w:rsid w:val="00F16CD9"/>
    <w:rsid w:val="00F16E10"/>
    <w:rsid w:val="00F170CC"/>
    <w:rsid w:val="00F17687"/>
    <w:rsid w:val="00F20129"/>
    <w:rsid w:val="00F20291"/>
    <w:rsid w:val="00F2038E"/>
    <w:rsid w:val="00F21F18"/>
    <w:rsid w:val="00F23976"/>
    <w:rsid w:val="00F23A77"/>
    <w:rsid w:val="00F2571D"/>
    <w:rsid w:val="00F2648D"/>
    <w:rsid w:val="00F265D9"/>
    <w:rsid w:val="00F26CD5"/>
    <w:rsid w:val="00F26FBE"/>
    <w:rsid w:val="00F271A1"/>
    <w:rsid w:val="00F27497"/>
    <w:rsid w:val="00F27FE7"/>
    <w:rsid w:val="00F3046F"/>
    <w:rsid w:val="00F30720"/>
    <w:rsid w:val="00F30A29"/>
    <w:rsid w:val="00F30D3C"/>
    <w:rsid w:val="00F31462"/>
    <w:rsid w:val="00F317E1"/>
    <w:rsid w:val="00F31F79"/>
    <w:rsid w:val="00F32A4A"/>
    <w:rsid w:val="00F32D47"/>
    <w:rsid w:val="00F34A30"/>
    <w:rsid w:val="00F35911"/>
    <w:rsid w:val="00F35AD8"/>
    <w:rsid w:val="00F35EC4"/>
    <w:rsid w:val="00F35F6B"/>
    <w:rsid w:val="00F364AE"/>
    <w:rsid w:val="00F3685E"/>
    <w:rsid w:val="00F36C2E"/>
    <w:rsid w:val="00F370CD"/>
    <w:rsid w:val="00F37588"/>
    <w:rsid w:val="00F3760A"/>
    <w:rsid w:val="00F37DD3"/>
    <w:rsid w:val="00F403E5"/>
    <w:rsid w:val="00F4059A"/>
    <w:rsid w:val="00F40B30"/>
    <w:rsid w:val="00F411F9"/>
    <w:rsid w:val="00F41B53"/>
    <w:rsid w:val="00F441E9"/>
    <w:rsid w:val="00F445FD"/>
    <w:rsid w:val="00F459B1"/>
    <w:rsid w:val="00F45EC8"/>
    <w:rsid w:val="00F46125"/>
    <w:rsid w:val="00F46308"/>
    <w:rsid w:val="00F46471"/>
    <w:rsid w:val="00F469BE"/>
    <w:rsid w:val="00F46DD0"/>
    <w:rsid w:val="00F47BD5"/>
    <w:rsid w:val="00F508E7"/>
    <w:rsid w:val="00F50C51"/>
    <w:rsid w:val="00F51FB1"/>
    <w:rsid w:val="00F5258E"/>
    <w:rsid w:val="00F52BAB"/>
    <w:rsid w:val="00F52DC3"/>
    <w:rsid w:val="00F53BA6"/>
    <w:rsid w:val="00F53C97"/>
    <w:rsid w:val="00F5454F"/>
    <w:rsid w:val="00F5468C"/>
    <w:rsid w:val="00F552A9"/>
    <w:rsid w:val="00F55491"/>
    <w:rsid w:val="00F556F5"/>
    <w:rsid w:val="00F55875"/>
    <w:rsid w:val="00F56983"/>
    <w:rsid w:val="00F578C1"/>
    <w:rsid w:val="00F61EF8"/>
    <w:rsid w:val="00F63343"/>
    <w:rsid w:val="00F63F2E"/>
    <w:rsid w:val="00F6418B"/>
    <w:rsid w:val="00F651FE"/>
    <w:rsid w:val="00F70033"/>
    <w:rsid w:val="00F70307"/>
    <w:rsid w:val="00F70EE8"/>
    <w:rsid w:val="00F719F0"/>
    <w:rsid w:val="00F722DD"/>
    <w:rsid w:val="00F729A9"/>
    <w:rsid w:val="00F73359"/>
    <w:rsid w:val="00F73A84"/>
    <w:rsid w:val="00F7425F"/>
    <w:rsid w:val="00F74B3E"/>
    <w:rsid w:val="00F7681B"/>
    <w:rsid w:val="00F7687E"/>
    <w:rsid w:val="00F77A6B"/>
    <w:rsid w:val="00F8040D"/>
    <w:rsid w:val="00F806BE"/>
    <w:rsid w:val="00F82FBA"/>
    <w:rsid w:val="00F833B9"/>
    <w:rsid w:val="00F845DD"/>
    <w:rsid w:val="00F8474D"/>
    <w:rsid w:val="00F848AB"/>
    <w:rsid w:val="00F84D18"/>
    <w:rsid w:val="00F8580C"/>
    <w:rsid w:val="00F86253"/>
    <w:rsid w:val="00F8666A"/>
    <w:rsid w:val="00F86DE2"/>
    <w:rsid w:val="00F9041C"/>
    <w:rsid w:val="00F92A89"/>
    <w:rsid w:val="00F92D21"/>
    <w:rsid w:val="00F92FFD"/>
    <w:rsid w:val="00F937AD"/>
    <w:rsid w:val="00F94D2F"/>
    <w:rsid w:val="00F955D7"/>
    <w:rsid w:val="00F95911"/>
    <w:rsid w:val="00F95A77"/>
    <w:rsid w:val="00F95BBA"/>
    <w:rsid w:val="00F96685"/>
    <w:rsid w:val="00F96906"/>
    <w:rsid w:val="00F97468"/>
    <w:rsid w:val="00F975C9"/>
    <w:rsid w:val="00F97897"/>
    <w:rsid w:val="00FA0EE1"/>
    <w:rsid w:val="00FA2056"/>
    <w:rsid w:val="00FA21A1"/>
    <w:rsid w:val="00FA2253"/>
    <w:rsid w:val="00FA249E"/>
    <w:rsid w:val="00FA2BA3"/>
    <w:rsid w:val="00FA32A9"/>
    <w:rsid w:val="00FA3A2C"/>
    <w:rsid w:val="00FA3A7C"/>
    <w:rsid w:val="00FA48D6"/>
    <w:rsid w:val="00FA4B31"/>
    <w:rsid w:val="00FA5ACA"/>
    <w:rsid w:val="00FA5B68"/>
    <w:rsid w:val="00FA6A2D"/>
    <w:rsid w:val="00FA7018"/>
    <w:rsid w:val="00FA786B"/>
    <w:rsid w:val="00FA7A28"/>
    <w:rsid w:val="00FB1678"/>
    <w:rsid w:val="00FB2102"/>
    <w:rsid w:val="00FB22C0"/>
    <w:rsid w:val="00FB2423"/>
    <w:rsid w:val="00FB393E"/>
    <w:rsid w:val="00FB3C65"/>
    <w:rsid w:val="00FB3E98"/>
    <w:rsid w:val="00FB5956"/>
    <w:rsid w:val="00FB62E5"/>
    <w:rsid w:val="00FB6388"/>
    <w:rsid w:val="00FB6574"/>
    <w:rsid w:val="00FB6866"/>
    <w:rsid w:val="00FB7DA1"/>
    <w:rsid w:val="00FC0F93"/>
    <w:rsid w:val="00FC0FB4"/>
    <w:rsid w:val="00FC1078"/>
    <w:rsid w:val="00FC2340"/>
    <w:rsid w:val="00FC24B6"/>
    <w:rsid w:val="00FC2895"/>
    <w:rsid w:val="00FC3D47"/>
    <w:rsid w:val="00FC52DA"/>
    <w:rsid w:val="00FC538C"/>
    <w:rsid w:val="00FC552C"/>
    <w:rsid w:val="00FC5AFD"/>
    <w:rsid w:val="00FC697B"/>
    <w:rsid w:val="00FC6A23"/>
    <w:rsid w:val="00FD013A"/>
    <w:rsid w:val="00FD0ADE"/>
    <w:rsid w:val="00FD238D"/>
    <w:rsid w:val="00FD3C66"/>
    <w:rsid w:val="00FD4229"/>
    <w:rsid w:val="00FD4A5F"/>
    <w:rsid w:val="00FD57C5"/>
    <w:rsid w:val="00FD6112"/>
    <w:rsid w:val="00FD63A9"/>
    <w:rsid w:val="00FD6E50"/>
    <w:rsid w:val="00FD725B"/>
    <w:rsid w:val="00FD7763"/>
    <w:rsid w:val="00FD7DD1"/>
    <w:rsid w:val="00FD7DEA"/>
    <w:rsid w:val="00FE1785"/>
    <w:rsid w:val="00FE1913"/>
    <w:rsid w:val="00FE1D33"/>
    <w:rsid w:val="00FE1FFD"/>
    <w:rsid w:val="00FE23BF"/>
    <w:rsid w:val="00FE29B5"/>
    <w:rsid w:val="00FE3241"/>
    <w:rsid w:val="00FE59D3"/>
    <w:rsid w:val="00FE5C4E"/>
    <w:rsid w:val="00FE6024"/>
    <w:rsid w:val="00FE60DA"/>
    <w:rsid w:val="00FE64AE"/>
    <w:rsid w:val="00FF3723"/>
    <w:rsid w:val="00FF3861"/>
    <w:rsid w:val="00FF4A09"/>
    <w:rsid w:val="00FF6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BB263"/>
  <w15:chartTrackingRefBased/>
  <w15:docId w15:val="{1626937C-0DF7-4D35-A403-70D696062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D0F55"/>
  </w:style>
  <w:style w:type="paragraph" w:styleId="Heading1">
    <w:name w:val="heading 1"/>
    <w:basedOn w:val="ListParagraph"/>
    <w:next w:val="Normal"/>
    <w:link w:val="Heading1Char"/>
    <w:uiPriority w:val="9"/>
    <w:qFormat/>
    <w:rsid w:val="00AC2C23"/>
    <w:pPr>
      <w:numPr>
        <w:numId w:val="5"/>
      </w:numPr>
      <w:ind w:left="360"/>
      <w:outlineLvl w:val="0"/>
    </w:pPr>
    <w:rPr>
      <w:b/>
      <w:bCs/>
    </w:rPr>
  </w:style>
  <w:style w:type="paragraph" w:styleId="Heading2">
    <w:name w:val="heading 2"/>
    <w:basedOn w:val="ListParagraph"/>
    <w:next w:val="Normal"/>
    <w:link w:val="Heading2Char"/>
    <w:uiPriority w:val="9"/>
    <w:unhideWhenUsed/>
    <w:qFormat/>
    <w:rsid w:val="00AC2C23"/>
    <w:pPr>
      <w:numPr>
        <w:numId w:val="17"/>
      </w:numPr>
      <w:outlineLvl w:val="1"/>
    </w:pPr>
    <w:rPr>
      <w:b/>
      <w:bCs/>
    </w:rPr>
  </w:style>
  <w:style w:type="paragraph" w:styleId="Heading3">
    <w:name w:val="heading 3"/>
    <w:basedOn w:val="Normal"/>
    <w:next w:val="Normal"/>
    <w:link w:val="Heading3Char"/>
    <w:uiPriority w:val="9"/>
    <w:unhideWhenUsed/>
    <w:qFormat/>
    <w:rsid w:val="00D148FC"/>
    <w:pPr>
      <w:keepNext/>
      <w:keepLines/>
      <w:numPr>
        <w:numId w:val="12"/>
      </w:numPr>
      <w:outlineLvl w:val="2"/>
    </w:pPr>
    <w:rPr>
      <w:rFonts w:eastAsiaTheme="majorEastAsia" w:cstheme="majorBidi"/>
      <w:b/>
      <w:szCs w:val="28"/>
    </w:rPr>
  </w:style>
  <w:style w:type="paragraph" w:styleId="Heading4">
    <w:name w:val="heading 4"/>
    <w:basedOn w:val="Normal"/>
    <w:next w:val="Normal"/>
    <w:link w:val="Heading4Char"/>
    <w:uiPriority w:val="9"/>
    <w:semiHidden/>
    <w:unhideWhenUsed/>
    <w:rsid w:val="008116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16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16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16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16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16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C23"/>
    <w:rPr>
      <w:b/>
      <w:bCs/>
    </w:rPr>
  </w:style>
  <w:style w:type="character" w:customStyle="1" w:styleId="Heading2Char">
    <w:name w:val="Heading 2 Char"/>
    <w:basedOn w:val="DefaultParagraphFont"/>
    <w:link w:val="Heading2"/>
    <w:uiPriority w:val="9"/>
    <w:rsid w:val="00AC2C23"/>
    <w:rPr>
      <w:b/>
      <w:bCs/>
    </w:rPr>
  </w:style>
  <w:style w:type="character" w:customStyle="1" w:styleId="Heading3Char">
    <w:name w:val="Heading 3 Char"/>
    <w:basedOn w:val="DefaultParagraphFont"/>
    <w:link w:val="Heading3"/>
    <w:uiPriority w:val="9"/>
    <w:rsid w:val="00D148FC"/>
    <w:rPr>
      <w:rFonts w:eastAsiaTheme="majorEastAsia" w:cstheme="majorBidi"/>
      <w:b/>
      <w:szCs w:val="28"/>
    </w:rPr>
  </w:style>
  <w:style w:type="character" w:customStyle="1" w:styleId="Heading4Char">
    <w:name w:val="Heading 4 Char"/>
    <w:basedOn w:val="DefaultParagraphFont"/>
    <w:link w:val="Heading4"/>
    <w:uiPriority w:val="9"/>
    <w:semiHidden/>
    <w:rsid w:val="008116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16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16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16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16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1663"/>
    <w:rPr>
      <w:rFonts w:eastAsiaTheme="majorEastAsia" w:cstheme="majorBidi"/>
      <w:color w:val="272727" w:themeColor="text1" w:themeTint="D8"/>
    </w:rPr>
  </w:style>
  <w:style w:type="paragraph" w:styleId="Title">
    <w:name w:val="Title"/>
    <w:basedOn w:val="Normal"/>
    <w:next w:val="Normal"/>
    <w:link w:val="TitleChar"/>
    <w:uiPriority w:val="10"/>
    <w:rsid w:val="008116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16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8116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1663"/>
    <w:rPr>
      <w:rFonts w:eastAsiaTheme="majorEastAsia" w:cstheme="majorBidi"/>
      <w:color w:val="595959" w:themeColor="text1" w:themeTint="A6"/>
      <w:spacing w:val="15"/>
      <w:sz w:val="28"/>
      <w:szCs w:val="28"/>
    </w:rPr>
  </w:style>
  <w:style w:type="paragraph" w:styleId="Quote">
    <w:name w:val="Quote"/>
    <w:basedOn w:val="BodyText"/>
    <w:next w:val="Normal"/>
    <w:link w:val="QuoteChar"/>
    <w:uiPriority w:val="29"/>
    <w:qFormat/>
    <w:rsid w:val="00A35E47"/>
    <w:pPr>
      <w:spacing w:after="160" w:line="240" w:lineRule="auto"/>
      <w:ind w:left="720" w:right="720" w:firstLine="0"/>
    </w:pPr>
  </w:style>
  <w:style w:type="character" w:customStyle="1" w:styleId="QuoteChar">
    <w:name w:val="Quote Char"/>
    <w:basedOn w:val="DefaultParagraphFont"/>
    <w:link w:val="Quote"/>
    <w:uiPriority w:val="29"/>
    <w:rsid w:val="00A35E47"/>
  </w:style>
  <w:style w:type="paragraph" w:styleId="ListParagraph">
    <w:name w:val="List Paragraph"/>
    <w:basedOn w:val="Normal"/>
    <w:uiPriority w:val="34"/>
    <w:qFormat/>
    <w:rsid w:val="00FA4B31"/>
    <w:pPr>
      <w:numPr>
        <w:numId w:val="21"/>
      </w:numPr>
      <w:spacing w:line="240" w:lineRule="auto"/>
    </w:pPr>
  </w:style>
  <w:style w:type="character" w:styleId="IntenseEmphasis">
    <w:name w:val="Intense Emphasis"/>
    <w:basedOn w:val="DefaultParagraphFont"/>
    <w:uiPriority w:val="21"/>
    <w:rsid w:val="00811663"/>
    <w:rPr>
      <w:i/>
      <w:iCs/>
      <w:color w:val="0F4761" w:themeColor="accent1" w:themeShade="BF"/>
    </w:rPr>
  </w:style>
  <w:style w:type="paragraph" w:styleId="IntenseQuote">
    <w:name w:val="Intense Quote"/>
    <w:basedOn w:val="Normal"/>
    <w:next w:val="Normal"/>
    <w:link w:val="IntenseQuoteChar"/>
    <w:uiPriority w:val="30"/>
    <w:rsid w:val="008116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1663"/>
    <w:rPr>
      <w:i/>
      <w:iCs/>
      <w:color w:val="0F4761" w:themeColor="accent1" w:themeShade="BF"/>
    </w:rPr>
  </w:style>
  <w:style w:type="character" w:styleId="IntenseReference">
    <w:name w:val="Intense Reference"/>
    <w:basedOn w:val="DefaultParagraphFont"/>
    <w:uiPriority w:val="32"/>
    <w:rsid w:val="00811663"/>
    <w:rPr>
      <w:b/>
      <w:bCs/>
      <w:smallCaps/>
      <w:color w:val="0F4761" w:themeColor="accent1" w:themeShade="BF"/>
      <w:spacing w:val="5"/>
    </w:rPr>
  </w:style>
  <w:style w:type="paragraph" w:styleId="FootnoteText">
    <w:name w:val="footnote text"/>
    <w:basedOn w:val="Normal"/>
    <w:link w:val="FootnoteTextChar"/>
    <w:uiPriority w:val="99"/>
    <w:unhideWhenUsed/>
    <w:rsid w:val="00811663"/>
    <w:pPr>
      <w:spacing w:after="0" w:line="240" w:lineRule="auto"/>
    </w:pPr>
    <w:rPr>
      <w:sz w:val="20"/>
      <w:szCs w:val="20"/>
    </w:rPr>
  </w:style>
  <w:style w:type="character" w:customStyle="1" w:styleId="FootnoteTextChar">
    <w:name w:val="Footnote Text Char"/>
    <w:basedOn w:val="DefaultParagraphFont"/>
    <w:link w:val="FootnoteText"/>
    <w:uiPriority w:val="99"/>
    <w:rsid w:val="00811663"/>
    <w:rPr>
      <w:sz w:val="20"/>
      <w:szCs w:val="20"/>
    </w:rPr>
  </w:style>
  <w:style w:type="character" w:styleId="FootnoteReference">
    <w:name w:val="footnote reference"/>
    <w:basedOn w:val="DefaultParagraphFont"/>
    <w:uiPriority w:val="99"/>
    <w:semiHidden/>
    <w:unhideWhenUsed/>
    <w:rsid w:val="00811663"/>
    <w:rPr>
      <w:rFonts w:asciiTheme="minorHAnsi" w:hAnsiTheme="minorHAnsi"/>
      <w:sz w:val="24"/>
      <w:vertAlign w:val="superscript"/>
    </w:rPr>
  </w:style>
  <w:style w:type="character" w:styleId="Hyperlink">
    <w:name w:val="Hyperlink"/>
    <w:basedOn w:val="DefaultParagraphFont"/>
    <w:uiPriority w:val="99"/>
    <w:unhideWhenUsed/>
    <w:rsid w:val="00811663"/>
    <w:rPr>
      <w:color w:val="467886" w:themeColor="hyperlink"/>
      <w:u w:val="single"/>
    </w:rPr>
  </w:style>
  <w:style w:type="character" w:styleId="CommentReference">
    <w:name w:val="annotation reference"/>
    <w:basedOn w:val="DefaultParagraphFont"/>
    <w:uiPriority w:val="99"/>
    <w:semiHidden/>
    <w:unhideWhenUsed/>
    <w:rsid w:val="00811663"/>
    <w:rPr>
      <w:sz w:val="16"/>
      <w:szCs w:val="16"/>
    </w:rPr>
  </w:style>
  <w:style w:type="paragraph" w:styleId="CommentText">
    <w:name w:val="annotation text"/>
    <w:basedOn w:val="Normal"/>
    <w:link w:val="CommentTextChar"/>
    <w:uiPriority w:val="99"/>
    <w:unhideWhenUsed/>
    <w:rsid w:val="00811663"/>
    <w:pPr>
      <w:spacing w:line="240" w:lineRule="auto"/>
    </w:pPr>
    <w:rPr>
      <w:sz w:val="20"/>
      <w:szCs w:val="20"/>
    </w:rPr>
  </w:style>
  <w:style w:type="character" w:customStyle="1" w:styleId="CommentTextChar">
    <w:name w:val="Comment Text Char"/>
    <w:basedOn w:val="DefaultParagraphFont"/>
    <w:link w:val="CommentText"/>
    <w:uiPriority w:val="99"/>
    <w:rsid w:val="00811663"/>
    <w:rPr>
      <w:sz w:val="20"/>
      <w:szCs w:val="20"/>
    </w:rPr>
  </w:style>
  <w:style w:type="character" w:styleId="UnresolvedMention">
    <w:name w:val="Unresolved Mention"/>
    <w:basedOn w:val="DefaultParagraphFont"/>
    <w:uiPriority w:val="99"/>
    <w:semiHidden/>
    <w:unhideWhenUsed/>
    <w:rsid w:val="00811663"/>
    <w:rPr>
      <w:color w:val="605E5C"/>
      <w:shd w:val="clear" w:color="auto" w:fill="E1DFDD"/>
    </w:rPr>
  </w:style>
  <w:style w:type="paragraph" w:styleId="BodyText">
    <w:name w:val="Body Text"/>
    <w:basedOn w:val="Normal"/>
    <w:link w:val="BodyTextChar"/>
    <w:uiPriority w:val="99"/>
    <w:unhideWhenUsed/>
    <w:qFormat/>
    <w:rsid w:val="00C2028C"/>
    <w:pPr>
      <w:spacing w:after="0" w:line="480" w:lineRule="auto"/>
      <w:ind w:firstLine="720"/>
    </w:pPr>
  </w:style>
  <w:style w:type="character" w:customStyle="1" w:styleId="BodyTextChar">
    <w:name w:val="Body Text Char"/>
    <w:basedOn w:val="DefaultParagraphFont"/>
    <w:link w:val="BodyText"/>
    <w:uiPriority w:val="99"/>
    <w:rsid w:val="00C2028C"/>
  </w:style>
  <w:style w:type="paragraph" w:styleId="Header">
    <w:name w:val="header"/>
    <w:basedOn w:val="Normal"/>
    <w:link w:val="HeaderChar"/>
    <w:uiPriority w:val="99"/>
    <w:unhideWhenUsed/>
    <w:rsid w:val="00BB36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3651"/>
  </w:style>
  <w:style w:type="paragraph" w:styleId="Footer">
    <w:name w:val="footer"/>
    <w:basedOn w:val="Normal"/>
    <w:link w:val="FooterChar"/>
    <w:uiPriority w:val="99"/>
    <w:unhideWhenUsed/>
    <w:rsid w:val="00BB36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651"/>
  </w:style>
  <w:style w:type="paragraph" w:styleId="CommentSubject">
    <w:name w:val="annotation subject"/>
    <w:basedOn w:val="CommentText"/>
    <w:next w:val="CommentText"/>
    <w:link w:val="CommentSubjectChar"/>
    <w:uiPriority w:val="99"/>
    <w:semiHidden/>
    <w:unhideWhenUsed/>
    <w:rsid w:val="00FD63A9"/>
    <w:rPr>
      <w:b/>
      <w:bCs/>
    </w:rPr>
  </w:style>
  <w:style w:type="character" w:customStyle="1" w:styleId="CommentSubjectChar">
    <w:name w:val="Comment Subject Char"/>
    <w:basedOn w:val="CommentTextChar"/>
    <w:link w:val="CommentSubject"/>
    <w:uiPriority w:val="99"/>
    <w:semiHidden/>
    <w:rsid w:val="00FD63A9"/>
    <w:rPr>
      <w:b/>
      <w:bCs/>
      <w:sz w:val="20"/>
      <w:szCs w:val="20"/>
    </w:rPr>
  </w:style>
  <w:style w:type="paragraph" w:styleId="Revision">
    <w:name w:val="Revision"/>
    <w:hidden/>
    <w:uiPriority w:val="99"/>
    <w:semiHidden/>
    <w:rsid w:val="00CB3AAA"/>
    <w:pPr>
      <w:spacing w:after="0" w:line="240" w:lineRule="auto"/>
    </w:pPr>
  </w:style>
  <w:style w:type="character" w:styleId="FollowedHyperlink">
    <w:name w:val="FollowedHyperlink"/>
    <w:basedOn w:val="DefaultParagraphFont"/>
    <w:uiPriority w:val="99"/>
    <w:semiHidden/>
    <w:unhideWhenUsed/>
    <w:rsid w:val="008425AC"/>
    <w:rPr>
      <w:color w:val="96607D" w:themeColor="followedHyperlink"/>
      <w:u w:val="single"/>
    </w:rPr>
  </w:style>
  <w:style w:type="character" w:styleId="Mention">
    <w:name w:val="Mention"/>
    <w:basedOn w:val="DefaultParagraphFont"/>
    <w:uiPriority w:val="99"/>
    <w:unhideWhenUsed/>
    <w:rsid w:val="00E5795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7232">
      <w:bodyDiv w:val="1"/>
      <w:marLeft w:val="0"/>
      <w:marRight w:val="0"/>
      <w:marTop w:val="0"/>
      <w:marBottom w:val="0"/>
      <w:divBdr>
        <w:top w:val="none" w:sz="0" w:space="0" w:color="auto"/>
        <w:left w:val="none" w:sz="0" w:space="0" w:color="auto"/>
        <w:bottom w:val="none" w:sz="0" w:space="0" w:color="auto"/>
        <w:right w:val="none" w:sz="0" w:space="0" w:color="auto"/>
      </w:divBdr>
      <w:divsChild>
        <w:div w:id="1983071774">
          <w:marLeft w:val="0"/>
          <w:marRight w:val="0"/>
          <w:marTop w:val="0"/>
          <w:marBottom w:val="0"/>
          <w:divBdr>
            <w:top w:val="none" w:sz="0" w:space="0" w:color="3D3D3D"/>
            <w:left w:val="none" w:sz="0" w:space="0" w:color="3D3D3D"/>
            <w:bottom w:val="none" w:sz="0" w:space="0" w:color="3D3D3D"/>
            <w:right w:val="none" w:sz="0" w:space="0" w:color="3D3D3D"/>
          </w:divBdr>
        </w:div>
      </w:divsChild>
    </w:div>
    <w:div w:id="24721475">
      <w:bodyDiv w:val="1"/>
      <w:marLeft w:val="0"/>
      <w:marRight w:val="0"/>
      <w:marTop w:val="0"/>
      <w:marBottom w:val="0"/>
      <w:divBdr>
        <w:top w:val="none" w:sz="0" w:space="0" w:color="auto"/>
        <w:left w:val="none" w:sz="0" w:space="0" w:color="auto"/>
        <w:bottom w:val="none" w:sz="0" w:space="0" w:color="auto"/>
        <w:right w:val="none" w:sz="0" w:space="0" w:color="auto"/>
      </w:divBdr>
      <w:divsChild>
        <w:div w:id="13349190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52373">
      <w:bodyDiv w:val="1"/>
      <w:marLeft w:val="0"/>
      <w:marRight w:val="0"/>
      <w:marTop w:val="0"/>
      <w:marBottom w:val="0"/>
      <w:divBdr>
        <w:top w:val="none" w:sz="0" w:space="0" w:color="auto"/>
        <w:left w:val="none" w:sz="0" w:space="0" w:color="auto"/>
        <w:bottom w:val="none" w:sz="0" w:space="0" w:color="auto"/>
        <w:right w:val="none" w:sz="0" w:space="0" w:color="auto"/>
      </w:divBdr>
      <w:divsChild>
        <w:div w:id="2101096121">
          <w:marLeft w:val="0"/>
          <w:marRight w:val="0"/>
          <w:marTop w:val="0"/>
          <w:marBottom w:val="0"/>
          <w:divBdr>
            <w:top w:val="none" w:sz="0" w:space="0" w:color="3D3D3D"/>
            <w:left w:val="none" w:sz="0" w:space="0" w:color="3D3D3D"/>
            <w:bottom w:val="none" w:sz="0" w:space="0" w:color="3D3D3D"/>
            <w:right w:val="none" w:sz="0" w:space="0" w:color="3D3D3D"/>
          </w:divBdr>
        </w:div>
      </w:divsChild>
    </w:div>
    <w:div w:id="32075554">
      <w:bodyDiv w:val="1"/>
      <w:marLeft w:val="0"/>
      <w:marRight w:val="0"/>
      <w:marTop w:val="0"/>
      <w:marBottom w:val="0"/>
      <w:divBdr>
        <w:top w:val="none" w:sz="0" w:space="0" w:color="auto"/>
        <w:left w:val="none" w:sz="0" w:space="0" w:color="auto"/>
        <w:bottom w:val="none" w:sz="0" w:space="0" w:color="auto"/>
        <w:right w:val="none" w:sz="0" w:space="0" w:color="auto"/>
      </w:divBdr>
      <w:divsChild>
        <w:div w:id="1324167255">
          <w:marLeft w:val="0"/>
          <w:marRight w:val="0"/>
          <w:marTop w:val="0"/>
          <w:marBottom w:val="0"/>
          <w:divBdr>
            <w:top w:val="none" w:sz="0" w:space="0" w:color="3D3D3D"/>
            <w:left w:val="none" w:sz="0" w:space="0" w:color="3D3D3D"/>
            <w:bottom w:val="none" w:sz="0" w:space="0" w:color="3D3D3D"/>
            <w:right w:val="none" w:sz="0" w:space="0" w:color="3D3D3D"/>
          </w:divBdr>
          <w:divsChild>
            <w:div w:id="68513307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4013614">
      <w:bodyDiv w:val="1"/>
      <w:marLeft w:val="0"/>
      <w:marRight w:val="0"/>
      <w:marTop w:val="0"/>
      <w:marBottom w:val="0"/>
      <w:divBdr>
        <w:top w:val="none" w:sz="0" w:space="0" w:color="auto"/>
        <w:left w:val="none" w:sz="0" w:space="0" w:color="auto"/>
        <w:bottom w:val="none" w:sz="0" w:space="0" w:color="auto"/>
        <w:right w:val="none" w:sz="0" w:space="0" w:color="auto"/>
      </w:divBdr>
      <w:divsChild>
        <w:div w:id="439685635">
          <w:marLeft w:val="0"/>
          <w:marRight w:val="0"/>
          <w:marTop w:val="0"/>
          <w:marBottom w:val="0"/>
          <w:divBdr>
            <w:top w:val="none" w:sz="0" w:space="0" w:color="3D3D3D"/>
            <w:left w:val="none" w:sz="0" w:space="0" w:color="3D3D3D"/>
            <w:bottom w:val="none" w:sz="0" w:space="0" w:color="3D3D3D"/>
            <w:right w:val="none" w:sz="0" w:space="0" w:color="3D3D3D"/>
          </w:divBdr>
        </w:div>
      </w:divsChild>
    </w:div>
    <w:div w:id="72747183">
      <w:bodyDiv w:val="1"/>
      <w:marLeft w:val="0"/>
      <w:marRight w:val="0"/>
      <w:marTop w:val="0"/>
      <w:marBottom w:val="0"/>
      <w:divBdr>
        <w:top w:val="none" w:sz="0" w:space="0" w:color="auto"/>
        <w:left w:val="none" w:sz="0" w:space="0" w:color="auto"/>
        <w:bottom w:val="none" w:sz="0" w:space="0" w:color="auto"/>
        <w:right w:val="none" w:sz="0" w:space="0" w:color="auto"/>
      </w:divBdr>
      <w:divsChild>
        <w:div w:id="537201038">
          <w:marLeft w:val="0"/>
          <w:marRight w:val="0"/>
          <w:marTop w:val="0"/>
          <w:marBottom w:val="0"/>
          <w:divBdr>
            <w:top w:val="none" w:sz="0" w:space="0" w:color="3D3D3D"/>
            <w:left w:val="none" w:sz="0" w:space="0" w:color="3D3D3D"/>
            <w:bottom w:val="none" w:sz="0" w:space="0" w:color="3D3D3D"/>
            <w:right w:val="none" w:sz="0" w:space="0" w:color="3D3D3D"/>
          </w:divBdr>
          <w:divsChild>
            <w:div w:id="196079711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6706930">
      <w:bodyDiv w:val="1"/>
      <w:marLeft w:val="0"/>
      <w:marRight w:val="0"/>
      <w:marTop w:val="0"/>
      <w:marBottom w:val="0"/>
      <w:divBdr>
        <w:top w:val="none" w:sz="0" w:space="0" w:color="auto"/>
        <w:left w:val="none" w:sz="0" w:space="0" w:color="auto"/>
        <w:bottom w:val="none" w:sz="0" w:space="0" w:color="auto"/>
        <w:right w:val="none" w:sz="0" w:space="0" w:color="auto"/>
      </w:divBdr>
      <w:divsChild>
        <w:div w:id="960572296">
          <w:marLeft w:val="0"/>
          <w:marRight w:val="0"/>
          <w:marTop w:val="0"/>
          <w:marBottom w:val="0"/>
          <w:divBdr>
            <w:top w:val="none" w:sz="0" w:space="0" w:color="3D3D3D"/>
            <w:left w:val="none" w:sz="0" w:space="0" w:color="3D3D3D"/>
            <w:bottom w:val="none" w:sz="0" w:space="0" w:color="3D3D3D"/>
            <w:right w:val="none" w:sz="0" w:space="0" w:color="3D3D3D"/>
          </w:divBdr>
          <w:divsChild>
            <w:div w:id="163868415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7359062">
      <w:bodyDiv w:val="1"/>
      <w:marLeft w:val="0"/>
      <w:marRight w:val="0"/>
      <w:marTop w:val="0"/>
      <w:marBottom w:val="0"/>
      <w:divBdr>
        <w:top w:val="none" w:sz="0" w:space="0" w:color="auto"/>
        <w:left w:val="none" w:sz="0" w:space="0" w:color="auto"/>
        <w:bottom w:val="none" w:sz="0" w:space="0" w:color="auto"/>
        <w:right w:val="none" w:sz="0" w:space="0" w:color="auto"/>
      </w:divBdr>
      <w:divsChild>
        <w:div w:id="1059137492">
          <w:marLeft w:val="0"/>
          <w:marRight w:val="0"/>
          <w:marTop w:val="0"/>
          <w:marBottom w:val="0"/>
          <w:divBdr>
            <w:top w:val="none" w:sz="0" w:space="0" w:color="3D3D3D"/>
            <w:left w:val="none" w:sz="0" w:space="0" w:color="3D3D3D"/>
            <w:bottom w:val="none" w:sz="0" w:space="0" w:color="3D3D3D"/>
            <w:right w:val="none" w:sz="0" w:space="0" w:color="3D3D3D"/>
          </w:divBdr>
          <w:divsChild>
            <w:div w:id="198597002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5297887">
      <w:bodyDiv w:val="1"/>
      <w:marLeft w:val="0"/>
      <w:marRight w:val="0"/>
      <w:marTop w:val="0"/>
      <w:marBottom w:val="0"/>
      <w:divBdr>
        <w:top w:val="none" w:sz="0" w:space="0" w:color="auto"/>
        <w:left w:val="none" w:sz="0" w:space="0" w:color="auto"/>
        <w:bottom w:val="none" w:sz="0" w:space="0" w:color="auto"/>
        <w:right w:val="none" w:sz="0" w:space="0" w:color="auto"/>
      </w:divBdr>
      <w:divsChild>
        <w:div w:id="462964344">
          <w:marLeft w:val="0"/>
          <w:marRight w:val="0"/>
          <w:marTop w:val="0"/>
          <w:marBottom w:val="0"/>
          <w:divBdr>
            <w:top w:val="none" w:sz="0" w:space="0" w:color="3D3D3D"/>
            <w:left w:val="none" w:sz="0" w:space="0" w:color="3D3D3D"/>
            <w:bottom w:val="none" w:sz="0" w:space="0" w:color="3D3D3D"/>
            <w:right w:val="none" w:sz="0" w:space="0" w:color="3D3D3D"/>
          </w:divBdr>
        </w:div>
      </w:divsChild>
    </w:div>
    <w:div w:id="180515688">
      <w:bodyDiv w:val="1"/>
      <w:marLeft w:val="0"/>
      <w:marRight w:val="0"/>
      <w:marTop w:val="0"/>
      <w:marBottom w:val="0"/>
      <w:divBdr>
        <w:top w:val="none" w:sz="0" w:space="0" w:color="auto"/>
        <w:left w:val="none" w:sz="0" w:space="0" w:color="auto"/>
        <w:bottom w:val="none" w:sz="0" w:space="0" w:color="auto"/>
        <w:right w:val="none" w:sz="0" w:space="0" w:color="auto"/>
      </w:divBdr>
      <w:divsChild>
        <w:div w:id="822815337">
          <w:marLeft w:val="0"/>
          <w:marRight w:val="0"/>
          <w:marTop w:val="0"/>
          <w:marBottom w:val="0"/>
          <w:divBdr>
            <w:top w:val="none" w:sz="0" w:space="0" w:color="3D3D3D"/>
            <w:left w:val="none" w:sz="0" w:space="0" w:color="3D3D3D"/>
            <w:bottom w:val="none" w:sz="0" w:space="0" w:color="3D3D3D"/>
            <w:right w:val="none" w:sz="0" w:space="0" w:color="3D3D3D"/>
          </w:divBdr>
        </w:div>
      </w:divsChild>
    </w:div>
    <w:div w:id="181818038">
      <w:bodyDiv w:val="1"/>
      <w:marLeft w:val="0"/>
      <w:marRight w:val="0"/>
      <w:marTop w:val="0"/>
      <w:marBottom w:val="0"/>
      <w:divBdr>
        <w:top w:val="none" w:sz="0" w:space="0" w:color="auto"/>
        <w:left w:val="none" w:sz="0" w:space="0" w:color="auto"/>
        <w:bottom w:val="none" w:sz="0" w:space="0" w:color="auto"/>
        <w:right w:val="none" w:sz="0" w:space="0" w:color="auto"/>
      </w:divBdr>
    </w:div>
    <w:div w:id="195045715">
      <w:bodyDiv w:val="1"/>
      <w:marLeft w:val="0"/>
      <w:marRight w:val="0"/>
      <w:marTop w:val="0"/>
      <w:marBottom w:val="0"/>
      <w:divBdr>
        <w:top w:val="none" w:sz="0" w:space="0" w:color="auto"/>
        <w:left w:val="none" w:sz="0" w:space="0" w:color="auto"/>
        <w:bottom w:val="none" w:sz="0" w:space="0" w:color="auto"/>
        <w:right w:val="none" w:sz="0" w:space="0" w:color="auto"/>
      </w:divBdr>
      <w:divsChild>
        <w:div w:id="555510885">
          <w:marLeft w:val="0"/>
          <w:marRight w:val="0"/>
          <w:marTop w:val="0"/>
          <w:marBottom w:val="0"/>
          <w:divBdr>
            <w:top w:val="none" w:sz="0" w:space="0" w:color="3D3D3D"/>
            <w:left w:val="none" w:sz="0" w:space="0" w:color="3D3D3D"/>
            <w:bottom w:val="none" w:sz="0" w:space="0" w:color="3D3D3D"/>
            <w:right w:val="none" w:sz="0" w:space="0" w:color="3D3D3D"/>
          </w:divBdr>
        </w:div>
      </w:divsChild>
    </w:div>
    <w:div w:id="197552043">
      <w:bodyDiv w:val="1"/>
      <w:marLeft w:val="0"/>
      <w:marRight w:val="0"/>
      <w:marTop w:val="0"/>
      <w:marBottom w:val="0"/>
      <w:divBdr>
        <w:top w:val="none" w:sz="0" w:space="0" w:color="auto"/>
        <w:left w:val="none" w:sz="0" w:space="0" w:color="auto"/>
        <w:bottom w:val="none" w:sz="0" w:space="0" w:color="auto"/>
        <w:right w:val="none" w:sz="0" w:space="0" w:color="auto"/>
      </w:divBdr>
      <w:divsChild>
        <w:div w:id="1057437093">
          <w:marLeft w:val="0"/>
          <w:marRight w:val="0"/>
          <w:marTop w:val="0"/>
          <w:marBottom w:val="0"/>
          <w:divBdr>
            <w:top w:val="none" w:sz="0" w:space="0" w:color="3D3D3D"/>
            <w:left w:val="none" w:sz="0" w:space="0" w:color="3D3D3D"/>
            <w:bottom w:val="none" w:sz="0" w:space="0" w:color="3D3D3D"/>
            <w:right w:val="none" w:sz="0" w:space="0" w:color="3D3D3D"/>
          </w:divBdr>
        </w:div>
      </w:divsChild>
    </w:div>
    <w:div w:id="213279427">
      <w:bodyDiv w:val="1"/>
      <w:marLeft w:val="0"/>
      <w:marRight w:val="0"/>
      <w:marTop w:val="0"/>
      <w:marBottom w:val="0"/>
      <w:divBdr>
        <w:top w:val="none" w:sz="0" w:space="0" w:color="auto"/>
        <w:left w:val="none" w:sz="0" w:space="0" w:color="auto"/>
        <w:bottom w:val="none" w:sz="0" w:space="0" w:color="auto"/>
        <w:right w:val="none" w:sz="0" w:space="0" w:color="auto"/>
      </w:divBdr>
      <w:divsChild>
        <w:div w:id="2031448139">
          <w:marLeft w:val="0"/>
          <w:marRight w:val="0"/>
          <w:marTop w:val="0"/>
          <w:marBottom w:val="0"/>
          <w:divBdr>
            <w:top w:val="none" w:sz="0" w:space="0" w:color="3D3D3D"/>
            <w:left w:val="none" w:sz="0" w:space="0" w:color="3D3D3D"/>
            <w:bottom w:val="none" w:sz="0" w:space="0" w:color="3D3D3D"/>
            <w:right w:val="none" w:sz="0" w:space="0" w:color="3D3D3D"/>
          </w:divBdr>
        </w:div>
      </w:divsChild>
    </w:div>
    <w:div w:id="219023413">
      <w:bodyDiv w:val="1"/>
      <w:marLeft w:val="0"/>
      <w:marRight w:val="0"/>
      <w:marTop w:val="0"/>
      <w:marBottom w:val="0"/>
      <w:divBdr>
        <w:top w:val="none" w:sz="0" w:space="0" w:color="auto"/>
        <w:left w:val="none" w:sz="0" w:space="0" w:color="auto"/>
        <w:bottom w:val="none" w:sz="0" w:space="0" w:color="auto"/>
        <w:right w:val="none" w:sz="0" w:space="0" w:color="auto"/>
      </w:divBdr>
      <w:divsChild>
        <w:div w:id="60835251">
          <w:marLeft w:val="0"/>
          <w:marRight w:val="0"/>
          <w:marTop w:val="0"/>
          <w:marBottom w:val="0"/>
          <w:divBdr>
            <w:top w:val="none" w:sz="0" w:space="0" w:color="3D3D3D"/>
            <w:left w:val="none" w:sz="0" w:space="0" w:color="3D3D3D"/>
            <w:bottom w:val="none" w:sz="0" w:space="0" w:color="3D3D3D"/>
            <w:right w:val="none" w:sz="0" w:space="0" w:color="3D3D3D"/>
          </w:divBdr>
        </w:div>
      </w:divsChild>
    </w:div>
    <w:div w:id="230114582">
      <w:bodyDiv w:val="1"/>
      <w:marLeft w:val="0"/>
      <w:marRight w:val="0"/>
      <w:marTop w:val="0"/>
      <w:marBottom w:val="0"/>
      <w:divBdr>
        <w:top w:val="none" w:sz="0" w:space="0" w:color="auto"/>
        <w:left w:val="none" w:sz="0" w:space="0" w:color="auto"/>
        <w:bottom w:val="none" w:sz="0" w:space="0" w:color="auto"/>
        <w:right w:val="none" w:sz="0" w:space="0" w:color="auto"/>
      </w:divBdr>
      <w:divsChild>
        <w:div w:id="615525072">
          <w:marLeft w:val="0"/>
          <w:marRight w:val="0"/>
          <w:marTop w:val="0"/>
          <w:marBottom w:val="0"/>
          <w:divBdr>
            <w:top w:val="none" w:sz="0" w:space="0" w:color="3D3D3D"/>
            <w:left w:val="none" w:sz="0" w:space="0" w:color="3D3D3D"/>
            <w:bottom w:val="none" w:sz="0" w:space="0" w:color="3D3D3D"/>
            <w:right w:val="none" w:sz="0" w:space="0" w:color="3D3D3D"/>
          </w:divBdr>
        </w:div>
      </w:divsChild>
    </w:div>
    <w:div w:id="247465467">
      <w:bodyDiv w:val="1"/>
      <w:marLeft w:val="0"/>
      <w:marRight w:val="0"/>
      <w:marTop w:val="0"/>
      <w:marBottom w:val="0"/>
      <w:divBdr>
        <w:top w:val="none" w:sz="0" w:space="0" w:color="auto"/>
        <w:left w:val="none" w:sz="0" w:space="0" w:color="auto"/>
        <w:bottom w:val="none" w:sz="0" w:space="0" w:color="auto"/>
        <w:right w:val="none" w:sz="0" w:space="0" w:color="auto"/>
      </w:divBdr>
      <w:divsChild>
        <w:div w:id="788858137">
          <w:marLeft w:val="0"/>
          <w:marRight w:val="0"/>
          <w:marTop w:val="0"/>
          <w:marBottom w:val="0"/>
          <w:divBdr>
            <w:top w:val="none" w:sz="0" w:space="0" w:color="3D3D3D"/>
            <w:left w:val="none" w:sz="0" w:space="0" w:color="3D3D3D"/>
            <w:bottom w:val="none" w:sz="0" w:space="0" w:color="3D3D3D"/>
            <w:right w:val="none" w:sz="0" w:space="0" w:color="3D3D3D"/>
          </w:divBdr>
          <w:divsChild>
            <w:div w:id="98154216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89896849">
      <w:bodyDiv w:val="1"/>
      <w:marLeft w:val="0"/>
      <w:marRight w:val="0"/>
      <w:marTop w:val="0"/>
      <w:marBottom w:val="0"/>
      <w:divBdr>
        <w:top w:val="none" w:sz="0" w:space="0" w:color="auto"/>
        <w:left w:val="none" w:sz="0" w:space="0" w:color="auto"/>
        <w:bottom w:val="none" w:sz="0" w:space="0" w:color="auto"/>
        <w:right w:val="none" w:sz="0" w:space="0" w:color="auto"/>
      </w:divBdr>
      <w:divsChild>
        <w:div w:id="975254715">
          <w:marLeft w:val="0"/>
          <w:marRight w:val="0"/>
          <w:marTop w:val="0"/>
          <w:marBottom w:val="0"/>
          <w:divBdr>
            <w:top w:val="none" w:sz="0" w:space="0" w:color="3D3D3D"/>
            <w:left w:val="none" w:sz="0" w:space="0" w:color="3D3D3D"/>
            <w:bottom w:val="none" w:sz="0" w:space="0" w:color="3D3D3D"/>
            <w:right w:val="none" w:sz="0" w:space="0" w:color="3D3D3D"/>
          </w:divBdr>
          <w:divsChild>
            <w:div w:id="161031082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09483097">
      <w:bodyDiv w:val="1"/>
      <w:marLeft w:val="0"/>
      <w:marRight w:val="0"/>
      <w:marTop w:val="0"/>
      <w:marBottom w:val="0"/>
      <w:divBdr>
        <w:top w:val="none" w:sz="0" w:space="0" w:color="auto"/>
        <w:left w:val="none" w:sz="0" w:space="0" w:color="auto"/>
        <w:bottom w:val="none" w:sz="0" w:space="0" w:color="auto"/>
        <w:right w:val="none" w:sz="0" w:space="0" w:color="auto"/>
      </w:divBdr>
      <w:divsChild>
        <w:div w:id="1156067886">
          <w:marLeft w:val="0"/>
          <w:marRight w:val="0"/>
          <w:marTop w:val="0"/>
          <w:marBottom w:val="0"/>
          <w:divBdr>
            <w:top w:val="none" w:sz="0" w:space="0" w:color="3D3D3D"/>
            <w:left w:val="none" w:sz="0" w:space="0" w:color="3D3D3D"/>
            <w:bottom w:val="none" w:sz="0" w:space="0" w:color="3D3D3D"/>
            <w:right w:val="none" w:sz="0" w:space="0" w:color="3D3D3D"/>
          </w:divBdr>
        </w:div>
      </w:divsChild>
    </w:div>
    <w:div w:id="356933982">
      <w:bodyDiv w:val="1"/>
      <w:marLeft w:val="0"/>
      <w:marRight w:val="0"/>
      <w:marTop w:val="0"/>
      <w:marBottom w:val="0"/>
      <w:divBdr>
        <w:top w:val="none" w:sz="0" w:space="0" w:color="auto"/>
        <w:left w:val="none" w:sz="0" w:space="0" w:color="auto"/>
        <w:bottom w:val="none" w:sz="0" w:space="0" w:color="auto"/>
        <w:right w:val="none" w:sz="0" w:space="0" w:color="auto"/>
      </w:divBdr>
      <w:divsChild>
        <w:div w:id="809909189">
          <w:marLeft w:val="0"/>
          <w:marRight w:val="0"/>
          <w:marTop w:val="0"/>
          <w:marBottom w:val="0"/>
          <w:divBdr>
            <w:top w:val="none" w:sz="0" w:space="0" w:color="3D3D3D"/>
            <w:left w:val="none" w:sz="0" w:space="0" w:color="3D3D3D"/>
            <w:bottom w:val="none" w:sz="0" w:space="0" w:color="3D3D3D"/>
            <w:right w:val="none" w:sz="0" w:space="0" w:color="3D3D3D"/>
          </w:divBdr>
          <w:divsChild>
            <w:div w:id="55577592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59627637">
      <w:bodyDiv w:val="1"/>
      <w:marLeft w:val="0"/>
      <w:marRight w:val="0"/>
      <w:marTop w:val="0"/>
      <w:marBottom w:val="0"/>
      <w:divBdr>
        <w:top w:val="none" w:sz="0" w:space="0" w:color="auto"/>
        <w:left w:val="none" w:sz="0" w:space="0" w:color="auto"/>
        <w:bottom w:val="none" w:sz="0" w:space="0" w:color="auto"/>
        <w:right w:val="none" w:sz="0" w:space="0" w:color="auto"/>
      </w:divBdr>
      <w:divsChild>
        <w:div w:id="2118672608">
          <w:marLeft w:val="0"/>
          <w:marRight w:val="0"/>
          <w:marTop w:val="0"/>
          <w:marBottom w:val="0"/>
          <w:divBdr>
            <w:top w:val="none" w:sz="0" w:space="0" w:color="3D3D3D"/>
            <w:left w:val="none" w:sz="0" w:space="0" w:color="3D3D3D"/>
            <w:bottom w:val="none" w:sz="0" w:space="0" w:color="3D3D3D"/>
            <w:right w:val="none" w:sz="0" w:space="0" w:color="3D3D3D"/>
          </w:divBdr>
        </w:div>
      </w:divsChild>
    </w:div>
    <w:div w:id="399862496">
      <w:bodyDiv w:val="1"/>
      <w:marLeft w:val="0"/>
      <w:marRight w:val="0"/>
      <w:marTop w:val="0"/>
      <w:marBottom w:val="0"/>
      <w:divBdr>
        <w:top w:val="none" w:sz="0" w:space="0" w:color="auto"/>
        <w:left w:val="none" w:sz="0" w:space="0" w:color="auto"/>
        <w:bottom w:val="none" w:sz="0" w:space="0" w:color="auto"/>
        <w:right w:val="none" w:sz="0" w:space="0" w:color="auto"/>
      </w:divBdr>
      <w:divsChild>
        <w:div w:id="1199705583">
          <w:marLeft w:val="0"/>
          <w:marRight w:val="0"/>
          <w:marTop w:val="0"/>
          <w:marBottom w:val="0"/>
          <w:divBdr>
            <w:top w:val="none" w:sz="0" w:space="0" w:color="3D3D3D"/>
            <w:left w:val="none" w:sz="0" w:space="0" w:color="3D3D3D"/>
            <w:bottom w:val="none" w:sz="0" w:space="0" w:color="3D3D3D"/>
            <w:right w:val="none" w:sz="0" w:space="0" w:color="3D3D3D"/>
          </w:divBdr>
        </w:div>
      </w:divsChild>
    </w:div>
    <w:div w:id="460150163">
      <w:bodyDiv w:val="1"/>
      <w:marLeft w:val="0"/>
      <w:marRight w:val="0"/>
      <w:marTop w:val="0"/>
      <w:marBottom w:val="0"/>
      <w:divBdr>
        <w:top w:val="none" w:sz="0" w:space="0" w:color="auto"/>
        <w:left w:val="none" w:sz="0" w:space="0" w:color="auto"/>
        <w:bottom w:val="none" w:sz="0" w:space="0" w:color="auto"/>
        <w:right w:val="none" w:sz="0" w:space="0" w:color="auto"/>
      </w:divBdr>
      <w:divsChild>
        <w:div w:id="143203734">
          <w:marLeft w:val="0"/>
          <w:marRight w:val="0"/>
          <w:marTop w:val="0"/>
          <w:marBottom w:val="0"/>
          <w:divBdr>
            <w:top w:val="none" w:sz="0" w:space="0" w:color="3D3D3D"/>
            <w:left w:val="none" w:sz="0" w:space="0" w:color="3D3D3D"/>
            <w:bottom w:val="none" w:sz="0" w:space="0" w:color="3D3D3D"/>
            <w:right w:val="none" w:sz="0" w:space="0" w:color="3D3D3D"/>
          </w:divBdr>
        </w:div>
      </w:divsChild>
    </w:div>
    <w:div w:id="475531729">
      <w:bodyDiv w:val="1"/>
      <w:marLeft w:val="0"/>
      <w:marRight w:val="0"/>
      <w:marTop w:val="0"/>
      <w:marBottom w:val="0"/>
      <w:divBdr>
        <w:top w:val="none" w:sz="0" w:space="0" w:color="auto"/>
        <w:left w:val="none" w:sz="0" w:space="0" w:color="auto"/>
        <w:bottom w:val="none" w:sz="0" w:space="0" w:color="auto"/>
        <w:right w:val="none" w:sz="0" w:space="0" w:color="auto"/>
      </w:divBdr>
      <w:divsChild>
        <w:div w:id="1656909846">
          <w:marLeft w:val="0"/>
          <w:marRight w:val="0"/>
          <w:marTop w:val="0"/>
          <w:marBottom w:val="0"/>
          <w:divBdr>
            <w:top w:val="none" w:sz="0" w:space="0" w:color="3D3D3D"/>
            <w:left w:val="none" w:sz="0" w:space="0" w:color="3D3D3D"/>
            <w:bottom w:val="none" w:sz="0" w:space="0" w:color="3D3D3D"/>
            <w:right w:val="none" w:sz="0" w:space="0" w:color="3D3D3D"/>
          </w:divBdr>
        </w:div>
      </w:divsChild>
    </w:div>
    <w:div w:id="475608344">
      <w:bodyDiv w:val="1"/>
      <w:marLeft w:val="0"/>
      <w:marRight w:val="0"/>
      <w:marTop w:val="0"/>
      <w:marBottom w:val="0"/>
      <w:divBdr>
        <w:top w:val="none" w:sz="0" w:space="0" w:color="auto"/>
        <w:left w:val="none" w:sz="0" w:space="0" w:color="auto"/>
        <w:bottom w:val="none" w:sz="0" w:space="0" w:color="auto"/>
        <w:right w:val="none" w:sz="0" w:space="0" w:color="auto"/>
      </w:divBdr>
    </w:div>
    <w:div w:id="499124166">
      <w:bodyDiv w:val="1"/>
      <w:marLeft w:val="0"/>
      <w:marRight w:val="0"/>
      <w:marTop w:val="0"/>
      <w:marBottom w:val="0"/>
      <w:divBdr>
        <w:top w:val="none" w:sz="0" w:space="0" w:color="auto"/>
        <w:left w:val="none" w:sz="0" w:space="0" w:color="auto"/>
        <w:bottom w:val="none" w:sz="0" w:space="0" w:color="auto"/>
        <w:right w:val="none" w:sz="0" w:space="0" w:color="auto"/>
      </w:divBdr>
    </w:div>
    <w:div w:id="501746702">
      <w:bodyDiv w:val="1"/>
      <w:marLeft w:val="0"/>
      <w:marRight w:val="0"/>
      <w:marTop w:val="0"/>
      <w:marBottom w:val="0"/>
      <w:divBdr>
        <w:top w:val="none" w:sz="0" w:space="0" w:color="auto"/>
        <w:left w:val="none" w:sz="0" w:space="0" w:color="auto"/>
        <w:bottom w:val="none" w:sz="0" w:space="0" w:color="auto"/>
        <w:right w:val="none" w:sz="0" w:space="0" w:color="auto"/>
      </w:divBdr>
      <w:divsChild>
        <w:div w:id="379599103">
          <w:marLeft w:val="0"/>
          <w:marRight w:val="0"/>
          <w:marTop w:val="0"/>
          <w:marBottom w:val="0"/>
          <w:divBdr>
            <w:top w:val="none" w:sz="0" w:space="0" w:color="3D3D3D"/>
            <w:left w:val="none" w:sz="0" w:space="0" w:color="3D3D3D"/>
            <w:bottom w:val="none" w:sz="0" w:space="0" w:color="3D3D3D"/>
            <w:right w:val="none" w:sz="0" w:space="0" w:color="3D3D3D"/>
          </w:divBdr>
          <w:divsChild>
            <w:div w:id="23069821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03671136">
      <w:bodyDiv w:val="1"/>
      <w:marLeft w:val="0"/>
      <w:marRight w:val="0"/>
      <w:marTop w:val="0"/>
      <w:marBottom w:val="0"/>
      <w:divBdr>
        <w:top w:val="none" w:sz="0" w:space="0" w:color="auto"/>
        <w:left w:val="none" w:sz="0" w:space="0" w:color="auto"/>
        <w:bottom w:val="none" w:sz="0" w:space="0" w:color="auto"/>
        <w:right w:val="none" w:sz="0" w:space="0" w:color="auto"/>
      </w:divBdr>
      <w:divsChild>
        <w:div w:id="1722515305">
          <w:marLeft w:val="0"/>
          <w:marRight w:val="0"/>
          <w:marTop w:val="0"/>
          <w:marBottom w:val="0"/>
          <w:divBdr>
            <w:top w:val="none" w:sz="0" w:space="0" w:color="3D3D3D"/>
            <w:left w:val="none" w:sz="0" w:space="0" w:color="3D3D3D"/>
            <w:bottom w:val="none" w:sz="0" w:space="0" w:color="3D3D3D"/>
            <w:right w:val="none" w:sz="0" w:space="0" w:color="3D3D3D"/>
          </w:divBdr>
        </w:div>
      </w:divsChild>
    </w:div>
    <w:div w:id="506869280">
      <w:bodyDiv w:val="1"/>
      <w:marLeft w:val="0"/>
      <w:marRight w:val="0"/>
      <w:marTop w:val="0"/>
      <w:marBottom w:val="0"/>
      <w:divBdr>
        <w:top w:val="none" w:sz="0" w:space="0" w:color="auto"/>
        <w:left w:val="none" w:sz="0" w:space="0" w:color="auto"/>
        <w:bottom w:val="none" w:sz="0" w:space="0" w:color="auto"/>
        <w:right w:val="none" w:sz="0" w:space="0" w:color="auto"/>
      </w:divBdr>
      <w:divsChild>
        <w:div w:id="883758436">
          <w:marLeft w:val="0"/>
          <w:marRight w:val="0"/>
          <w:marTop w:val="0"/>
          <w:marBottom w:val="0"/>
          <w:divBdr>
            <w:top w:val="none" w:sz="0" w:space="0" w:color="3D3D3D"/>
            <w:left w:val="none" w:sz="0" w:space="0" w:color="3D3D3D"/>
            <w:bottom w:val="none" w:sz="0" w:space="0" w:color="3D3D3D"/>
            <w:right w:val="none" w:sz="0" w:space="0" w:color="3D3D3D"/>
          </w:divBdr>
          <w:divsChild>
            <w:div w:id="73131748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08522092">
      <w:bodyDiv w:val="1"/>
      <w:marLeft w:val="0"/>
      <w:marRight w:val="0"/>
      <w:marTop w:val="0"/>
      <w:marBottom w:val="0"/>
      <w:divBdr>
        <w:top w:val="none" w:sz="0" w:space="0" w:color="auto"/>
        <w:left w:val="none" w:sz="0" w:space="0" w:color="auto"/>
        <w:bottom w:val="none" w:sz="0" w:space="0" w:color="auto"/>
        <w:right w:val="none" w:sz="0" w:space="0" w:color="auto"/>
      </w:divBdr>
    </w:div>
    <w:div w:id="559555959">
      <w:bodyDiv w:val="1"/>
      <w:marLeft w:val="0"/>
      <w:marRight w:val="0"/>
      <w:marTop w:val="0"/>
      <w:marBottom w:val="0"/>
      <w:divBdr>
        <w:top w:val="none" w:sz="0" w:space="0" w:color="auto"/>
        <w:left w:val="none" w:sz="0" w:space="0" w:color="auto"/>
        <w:bottom w:val="none" w:sz="0" w:space="0" w:color="auto"/>
        <w:right w:val="none" w:sz="0" w:space="0" w:color="auto"/>
      </w:divBdr>
      <w:divsChild>
        <w:div w:id="1007826178">
          <w:marLeft w:val="0"/>
          <w:marRight w:val="0"/>
          <w:marTop w:val="0"/>
          <w:marBottom w:val="0"/>
          <w:divBdr>
            <w:top w:val="none" w:sz="0" w:space="0" w:color="3D3D3D"/>
            <w:left w:val="none" w:sz="0" w:space="0" w:color="3D3D3D"/>
            <w:bottom w:val="none" w:sz="0" w:space="0" w:color="3D3D3D"/>
            <w:right w:val="none" w:sz="0" w:space="0" w:color="3D3D3D"/>
          </w:divBdr>
          <w:divsChild>
            <w:div w:id="86718358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85597070">
      <w:bodyDiv w:val="1"/>
      <w:marLeft w:val="0"/>
      <w:marRight w:val="0"/>
      <w:marTop w:val="0"/>
      <w:marBottom w:val="0"/>
      <w:divBdr>
        <w:top w:val="none" w:sz="0" w:space="0" w:color="auto"/>
        <w:left w:val="none" w:sz="0" w:space="0" w:color="auto"/>
        <w:bottom w:val="none" w:sz="0" w:space="0" w:color="auto"/>
        <w:right w:val="none" w:sz="0" w:space="0" w:color="auto"/>
      </w:divBdr>
      <w:divsChild>
        <w:div w:id="1542981864">
          <w:marLeft w:val="0"/>
          <w:marRight w:val="0"/>
          <w:marTop w:val="0"/>
          <w:marBottom w:val="0"/>
          <w:divBdr>
            <w:top w:val="none" w:sz="0" w:space="0" w:color="3D3D3D"/>
            <w:left w:val="none" w:sz="0" w:space="0" w:color="3D3D3D"/>
            <w:bottom w:val="none" w:sz="0" w:space="0" w:color="3D3D3D"/>
            <w:right w:val="none" w:sz="0" w:space="0" w:color="3D3D3D"/>
          </w:divBdr>
          <w:divsChild>
            <w:div w:id="64620729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86446342">
      <w:bodyDiv w:val="1"/>
      <w:marLeft w:val="0"/>
      <w:marRight w:val="0"/>
      <w:marTop w:val="0"/>
      <w:marBottom w:val="0"/>
      <w:divBdr>
        <w:top w:val="none" w:sz="0" w:space="0" w:color="auto"/>
        <w:left w:val="none" w:sz="0" w:space="0" w:color="auto"/>
        <w:bottom w:val="none" w:sz="0" w:space="0" w:color="auto"/>
        <w:right w:val="none" w:sz="0" w:space="0" w:color="auto"/>
      </w:divBdr>
      <w:divsChild>
        <w:div w:id="19935280">
          <w:marLeft w:val="0"/>
          <w:marRight w:val="0"/>
          <w:marTop w:val="0"/>
          <w:marBottom w:val="0"/>
          <w:divBdr>
            <w:top w:val="none" w:sz="0" w:space="0" w:color="3D3D3D"/>
            <w:left w:val="none" w:sz="0" w:space="0" w:color="3D3D3D"/>
            <w:bottom w:val="none" w:sz="0" w:space="0" w:color="3D3D3D"/>
            <w:right w:val="none" w:sz="0" w:space="0" w:color="3D3D3D"/>
          </w:divBdr>
          <w:divsChild>
            <w:div w:id="95290663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04252809">
      <w:bodyDiv w:val="1"/>
      <w:marLeft w:val="0"/>
      <w:marRight w:val="0"/>
      <w:marTop w:val="0"/>
      <w:marBottom w:val="0"/>
      <w:divBdr>
        <w:top w:val="none" w:sz="0" w:space="0" w:color="auto"/>
        <w:left w:val="none" w:sz="0" w:space="0" w:color="auto"/>
        <w:bottom w:val="none" w:sz="0" w:space="0" w:color="auto"/>
        <w:right w:val="none" w:sz="0" w:space="0" w:color="auto"/>
      </w:divBdr>
      <w:divsChild>
        <w:div w:id="1741948512">
          <w:marLeft w:val="0"/>
          <w:marRight w:val="0"/>
          <w:marTop w:val="0"/>
          <w:marBottom w:val="0"/>
          <w:divBdr>
            <w:top w:val="none" w:sz="0" w:space="0" w:color="3D3D3D"/>
            <w:left w:val="none" w:sz="0" w:space="0" w:color="3D3D3D"/>
            <w:bottom w:val="none" w:sz="0" w:space="0" w:color="3D3D3D"/>
            <w:right w:val="none" w:sz="0" w:space="0" w:color="3D3D3D"/>
          </w:divBdr>
        </w:div>
      </w:divsChild>
    </w:div>
    <w:div w:id="776828561">
      <w:bodyDiv w:val="1"/>
      <w:marLeft w:val="0"/>
      <w:marRight w:val="0"/>
      <w:marTop w:val="0"/>
      <w:marBottom w:val="0"/>
      <w:divBdr>
        <w:top w:val="none" w:sz="0" w:space="0" w:color="auto"/>
        <w:left w:val="none" w:sz="0" w:space="0" w:color="auto"/>
        <w:bottom w:val="none" w:sz="0" w:space="0" w:color="auto"/>
        <w:right w:val="none" w:sz="0" w:space="0" w:color="auto"/>
      </w:divBdr>
      <w:divsChild>
        <w:div w:id="468935721">
          <w:marLeft w:val="0"/>
          <w:marRight w:val="0"/>
          <w:marTop w:val="0"/>
          <w:marBottom w:val="0"/>
          <w:divBdr>
            <w:top w:val="none" w:sz="0" w:space="0" w:color="3D3D3D"/>
            <w:left w:val="none" w:sz="0" w:space="0" w:color="3D3D3D"/>
            <w:bottom w:val="none" w:sz="0" w:space="0" w:color="3D3D3D"/>
            <w:right w:val="none" w:sz="0" w:space="0" w:color="3D3D3D"/>
          </w:divBdr>
          <w:divsChild>
            <w:div w:id="50174772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79298198">
      <w:bodyDiv w:val="1"/>
      <w:marLeft w:val="0"/>
      <w:marRight w:val="0"/>
      <w:marTop w:val="0"/>
      <w:marBottom w:val="0"/>
      <w:divBdr>
        <w:top w:val="none" w:sz="0" w:space="0" w:color="auto"/>
        <w:left w:val="none" w:sz="0" w:space="0" w:color="auto"/>
        <w:bottom w:val="none" w:sz="0" w:space="0" w:color="auto"/>
        <w:right w:val="none" w:sz="0" w:space="0" w:color="auto"/>
      </w:divBdr>
      <w:divsChild>
        <w:div w:id="169878068">
          <w:marLeft w:val="0"/>
          <w:marRight w:val="0"/>
          <w:marTop w:val="0"/>
          <w:marBottom w:val="0"/>
          <w:divBdr>
            <w:top w:val="none" w:sz="0" w:space="0" w:color="3D3D3D"/>
            <w:left w:val="none" w:sz="0" w:space="0" w:color="3D3D3D"/>
            <w:bottom w:val="none" w:sz="0" w:space="0" w:color="3D3D3D"/>
            <w:right w:val="none" w:sz="0" w:space="0" w:color="3D3D3D"/>
          </w:divBdr>
        </w:div>
      </w:divsChild>
    </w:div>
    <w:div w:id="801582440">
      <w:bodyDiv w:val="1"/>
      <w:marLeft w:val="0"/>
      <w:marRight w:val="0"/>
      <w:marTop w:val="0"/>
      <w:marBottom w:val="0"/>
      <w:divBdr>
        <w:top w:val="none" w:sz="0" w:space="0" w:color="auto"/>
        <w:left w:val="none" w:sz="0" w:space="0" w:color="auto"/>
        <w:bottom w:val="none" w:sz="0" w:space="0" w:color="auto"/>
        <w:right w:val="none" w:sz="0" w:space="0" w:color="auto"/>
      </w:divBdr>
      <w:divsChild>
        <w:div w:id="1239633663">
          <w:marLeft w:val="0"/>
          <w:marRight w:val="0"/>
          <w:marTop w:val="0"/>
          <w:marBottom w:val="0"/>
          <w:divBdr>
            <w:top w:val="none" w:sz="0" w:space="0" w:color="3D3D3D"/>
            <w:left w:val="none" w:sz="0" w:space="0" w:color="3D3D3D"/>
            <w:bottom w:val="none" w:sz="0" w:space="0" w:color="3D3D3D"/>
            <w:right w:val="none" w:sz="0" w:space="0" w:color="3D3D3D"/>
          </w:divBdr>
          <w:divsChild>
            <w:div w:id="187533858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01852544">
      <w:bodyDiv w:val="1"/>
      <w:marLeft w:val="0"/>
      <w:marRight w:val="0"/>
      <w:marTop w:val="0"/>
      <w:marBottom w:val="0"/>
      <w:divBdr>
        <w:top w:val="none" w:sz="0" w:space="0" w:color="auto"/>
        <w:left w:val="none" w:sz="0" w:space="0" w:color="auto"/>
        <w:bottom w:val="none" w:sz="0" w:space="0" w:color="auto"/>
        <w:right w:val="none" w:sz="0" w:space="0" w:color="auto"/>
      </w:divBdr>
      <w:divsChild>
        <w:div w:id="1904683022">
          <w:marLeft w:val="0"/>
          <w:marRight w:val="0"/>
          <w:marTop w:val="0"/>
          <w:marBottom w:val="0"/>
          <w:divBdr>
            <w:top w:val="none" w:sz="0" w:space="0" w:color="3D3D3D"/>
            <w:left w:val="none" w:sz="0" w:space="0" w:color="3D3D3D"/>
            <w:bottom w:val="none" w:sz="0" w:space="0" w:color="3D3D3D"/>
            <w:right w:val="none" w:sz="0" w:space="0" w:color="3D3D3D"/>
          </w:divBdr>
          <w:divsChild>
            <w:div w:id="9752832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27019866">
      <w:bodyDiv w:val="1"/>
      <w:marLeft w:val="0"/>
      <w:marRight w:val="0"/>
      <w:marTop w:val="0"/>
      <w:marBottom w:val="0"/>
      <w:divBdr>
        <w:top w:val="none" w:sz="0" w:space="0" w:color="auto"/>
        <w:left w:val="none" w:sz="0" w:space="0" w:color="auto"/>
        <w:bottom w:val="none" w:sz="0" w:space="0" w:color="auto"/>
        <w:right w:val="none" w:sz="0" w:space="0" w:color="auto"/>
      </w:divBdr>
    </w:div>
    <w:div w:id="906502441">
      <w:bodyDiv w:val="1"/>
      <w:marLeft w:val="0"/>
      <w:marRight w:val="0"/>
      <w:marTop w:val="0"/>
      <w:marBottom w:val="0"/>
      <w:divBdr>
        <w:top w:val="none" w:sz="0" w:space="0" w:color="auto"/>
        <w:left w:val="none" w:sz="0" w:space="0" w:color="auto"/>
        <w:bottom w:val="none" w:sz="0" w:space="0" w:color="auto"/>
        <w:right w:val="none" w:sz="0" w:space="0" w:color="auto"/>
      </w:divBdr>
      <w:divsChild>
        <w:div w:id="276370588">
          <w:marLeft w:val="0"/>
          <w:marRight w:val="0"/>
          <w:marTop w:val="0"/>
          <w:marBottom w:val="0"/>
          <w:divBdr>
            <w:top w:val="none" w:sz="0" w:space="0" w:color="3D3D3D"/>
            <w:left w:val="none" w:sz="0" w:space="0" w:color="3D3D3D"/>
            <w:bottom w:val="none" w:sz="0" w:space="0" w:color="3D3D3D"/>
            <w:right w:val="none" w:sz="0" w:space="0" w:color="3D3D3D"/>
          </w:divBdr>
          <w:divsChild>
            <w:div w:id="204262835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06644969">
      <w:bodyDiv w:val="1"/>
      <w:marLeft w:val="0"/>
      <w:marRight w:val="0"/>
      <w:marTop w:val="0"/>
      <w:marBottom w:val="0"/>
      <w:divBdr>
        <w:top w:val="none" w:sz="0" w:space="0" w:color="auto"/>
        <w:left w:val="none" w:sz="0" w:space="0" w:color="auto"/>
        <w:bottom w:val="none" w:sz="0" w:space="0" w:color="auto"/>
        <w:right w:val="none" w:sz="0" w:space="0" w:color="auto"/>
      </w:divBdr>
      <w:divsChild>
        <w:div w:id="1877355097">
          <w:marLeft w:val="0"/>
          <w:marRight w:val="0"/>
          <w:marTop w:val="0"/>
          <w:marBottom w:val="0"/>
          <w:divBdr>
            <w:top w:val="none" w:sz="0" w:space="0" w:color="3D3D3D"/>
            <w:left w:val="none" w:sz="0" w:space="0" w:color="3D3D3D"/>
            <w:bottom w:val="none" w:sz="0" w:space="0" w:color="3D3D3D"/>
            <w:right w:val="none" w:sz="0" w:space="0" w:color="3D3D3D"/>
          </w:divBdr>
        </w:div>
      </w:divsChild>
    </w:div>
    <w:div w:id="924260787">
      <w:bodyDiv w:val="1"/>
      <w:marLeft w:val="0"/>
      <w:marRight w:val="0"/>
      <w:marTop w:val="0"/>
      <w:marBottom w:val="0"/>
      <w:divBdr>
        <w:top w:val="none" w:sz="0" w:space="0" w:color="auto"/>
        <w:left w:val="none" w:sz="0" w:space="0" w:color="auto"/>
        <w:bottom w:val="none" w:sz="0" w:space="0" w:color="auto"/>
        <w:right w:val="none" w:sz="0" w:space="0" w:color="auto"/>
      </w:divBdr>
    </w:div>
    <w:div w:id="926691401">
      <w:bodyDiv w:val="1"/>
      <w:marLeft w:val="0"/>
      <w:marRight w:val="0"/>
      <w:marTop w:val="0"/>
      <w:marBottom w:val="0"/>
      <w:divBdr>
        <w:top w:val="none" w:sz="0" w:space="0" w:color="auto"/>
        <w:left w:val="none" w:sz="0" w:space="0" w:color="auto"/>
        <w:bottom w:val="none" w:sz="0" w:space="0" w:color="auto"/>
        <w:right w:val="none" w:sz="0" w:space="0" w:color="auto"/>
      </w:divBdr>
      <w:divsChild>
        <w:div w:id="1283997688">
          <w:marLeft w:val="0"/>
          <w:marRight w:val="0"/>
          <w:marTop w:val="0"/>
          <w:marBottom w:val="0"/>
          <w:divBdr>
            <w:top w:val="none" w:sz="0" w:space="0" w:color="3D3D3D"/>
            <w:left w:val="none" w:sz="0" w:space="0" w:color="3D3D3D"/>
            <w:bottom w:val="none" w:sz="0" w:space="0" w:color="3D3D3D"/>
            <w:right w:val="none" w:sz="0" w:space="0" w:color="3D3D3D"/>
          </w:divBdr>
        </w:div>
      </w:divsChild>
    </w:div>
    <w:div w:id="997458635">
      <w:bodyDiv w:val="1"/>
      <w:marLeft w:val="0"/>
      <w:marRight w:val="0"/>
      <w:marTop w:val="0"/>
      <w:marBottom w:val="0"/>
      <w:divBdr>
        <w:top w:val="none" w:sz="0" w:space="0" w:color="auto"/>
        <w:left w:val="none" w:sz="0" w:space="0" w:color="auto"/>
        <w:bottom w:val="none" w:sz="0" w:space="0" w:color="auto"/>
        <w:right w:val="none" w:sz="0" w:space="0" w:color="auto"/>
      </w:divBdr>
      <w:divsChild>
        <w:div w:id="1272325024">
          <w:marLeft w:val="0"/>
          <w:marRight w:val="0"/>
          <w:marTop w:val="0"/>
          <w:marBottom w:val="0"/>
          <w:divBdr>
            <w:top w:val="none" w:sz="0" w:space="0" w:color="3D3D3D"/>
            <w:left w:val="none" w:sz="0" w:space="0" w:color="3D3D3D"/>
            <w:bottom w:val="none" w:sz="0" w:space="0" w:color="3D3D3D"/>
            <w:right w:val="none" w:sz="0" w:space="0" w:color="3D3D3D"/>
          </w:divBdr>
        </w:div>
      </w:divsChild>
    </w:div>
    <w:div w:id="1043750851">
      <w:bodyDiv w:val="1"/>
      <w:marLeft w:val="0"/>
      <w:marRight w:val="0"/>
      <w:marTop w:val="0"/>
      <w:marBottom w:val="0"/>
      <w:divBdr>
        <w:top w:val="none" w:sz="0" w:space="0" w:color="auto"/>
        <w:left w:val="none" w:sz="0" w:space="0" w:color="auto"/>
        <w:bottom w:val="none" w:sz="0" w:space="0" w:color="auto"/>
        <w:right w:val="none" w:sz="0" w:space="0" w:color="auto"/>
      </w:divBdr>
      <w:divsChild>
        <w:div w:id="769858390">
          <w:marLeft w:val="0"/>
          <w:marRight w:val="0"/>
          <w:marTop w:val="0"/>
          <w:marBottom w:val="0"/>
          <w:divBdr>
            <w:top w:val="none" w:sz="0" w:space="0" w:color="3D3D3D"/>
            <w:left w:val="none" w:sz="0" w:space="0" w:color="3D3D3D"/>
            <w:bottom w:val="none" w:sz="0" w:space="0" w:color="3D3D3D"/>
            <w:right w:val="none" w:sz="0" w:space="0" w:color="3D3D3D"/>
          </w:divBdr>
        </w:div>
      </w:divsChild>
    </w:div>
    <w:div w:id="1101070360">
      <w:bodyDiv w:val="1"/>
      <w:marLeft w:val="0"/>
      <w:marRight w:val="0"/>
      <w:marTop w:val="0"/>
      <w:marBottom w:val="0"/>
      <w:divBdr>
        <w:top w:val="none" w:sz="0" w:space="0" w:color="auto"/>
        <w:left w:val="none" w:sz="0" w:space="0" w:color="auto"/>
        <w:bottom w:val="none" w:sz="0" w:space="0" w:color="auto"/>
        <w:right w:val="none" w:sz="0" w:space="0" w:color="auto"/>
      </w:divBdr>
      <w:divsChild>
        <w:div w:id="798962453">
          <w:marLeft w:val="0"/>
          <w:marRight w:val="0"/>
          <w:marTop w:val="0"/>
          <w:marBottom w:val="0"/>
          <w:divBdr>
            <w:top w:val="none" w:sz="0" w:space="0" w:color="3D3D3D"/>
            <w:left w:val="none" w:sz="0" w:space="0" w:color="3D3D3D"/>
            <w:bottom w:val="none" w:sz="0" w:space="0" w:color="3D3D3D"/>
            <w:right w:val="none" w:sz="0" w:space="0" w:color="3D3D3D"/>
          </w:divBdr>
        </w:div>
      </w:divsChild>
    </w:div>
    <w:div w:id="1197159990">
      <w:bodyDiv w:val="1"/>
      <w:marLeft w:val="0"/>
      <w:marRight w:val="0"/>
      <w:marTop w:val="0"/>
      <w:marBottom w:val="0"/>
      <w:divBdr>
        <w:top w:val="none" w:sz="0" w:space="0" w:color="auto"/>
        <w:left w:val="none" w:sz="0" w:space="0" w:color="auto"/>
        <w:bottom w:val="none" w:sz="0" w:space="0" w:color="auto"/>
        <w:right w:val="none" w:sz="0" w:space="0" w:color="auto"/>
      </w:divBdr>
      <w:divsChild>
        <w:div w:id="1501118210">
          <w:marLeft w:val="0"/>
          <w:marRight w:val="0"/>
          <w:marTop w:val="0"/>
          <w:marBottom w:val="0"/>
          <w:divBdr>
            <w:top w:val="none" w:sz="0" w:space="0" w:color="3D3D3D"/>
            <w:left w:val="none" w:sz="0" w:space="0" w:color="3D3D3D"/>
            <w:bottom w:val="none" w:sz="0" w:space="0" w:color="3D3D3D"/>
            <w:right w:val="none" w:sz="0" w:space="0" w:color="3D3D3D"/>
          </w:divBdr>
        </w:div>
      </w:divsChild>
    </w:div>
    <w:div w:id="1220750982">
      <w:bodyDiv w:val="1"/>
      <w:marLeft w:val="0"/>
      <w:marRight w:val="0"/>
      <w:marTop w:val="0"/>
      <w:marBottom w:val="0"/>
      <w:divBdr>
        <w:top w:val="none" w:sz="0" w:space="0" w:color="auto"/>
        <w:left w:val="none" w:sz="0" w:space="0" w:color="auto"/>
        <w:bottom w:val="none" w:sz="0" w:space="0" w:color="auto"/>
        <w:right w:val="none" w:sz="0" w:space="0" w:color="auto"/>
      </w:divBdr>
      <w:divsChild>
        <w:div w:id="20701805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3347323">
      <w:bodyDiv w:val="1"/>
      <w:marLeft w:val="0"/>
      <w:marRight w:val="0"/>
      <w:marTop w:val="0"/>
      <w:marBottom w:val="0"/>
      <w:divBdr>
        <w:top w:val="none" w:sz="0" w:space="0" w:color="auto"/>
        <w:left w:val="none" w:sz="0" w:space="0" w:color="auto"/>
        <w:bottom w:val="none" w:sz="0" w:space="0" w:color="auto"/>
        <w:right w:val="none" w:sz="0" w:space="0" w:color="auto"/>
      </w:divBdr>
      <w:divsChild>
        <w:div w:id="304432788">
          <w:marLeft w:val="0"/>
          <w:marRight w:val="0"/>
          <w:marTop w:val="0"/>
          <w:marBottom w:val="0"/>
          <w:divBdr>
            <w:top w:val="none" w:sz="0" w:space="0" w:color="3D3D3D"/>
            <w:left w:val="none" w:sz="0" w:space="0" w:color="3D3D3D"/>
            <w:bottom w:val="none" w:sz="0" w:space="0" w:color="3D3D3D"/>
            <w:right w:val="none" w:sz="0" w:space="0" w:color="3D3D3D"/>
          </w:divBdr>
        </w:div>
      </w:divsChild>
    </w:div>
    <w:div w:id="1236353588">
      <w:bodyDiv w:val="1"/>
      <w:marLeft w:val="0"/>
      <w:marRight w:val="0"/>
      <w:marTop w:val="0"/>
      <w:marBottom w:val="0"/>
      <w:divBdr>
        <w:top w:val="none" w:sz="0" w:space="0" w:color="auto"/>
        <w:left w:val="none" w:sz="0" w:space="0" w:color="auto"/>
        <w:bottom w:val="none" w:sz="0" w:space="0" w:color="auto"/>
        <w:right w:val="none" w:sz="0" w:space="0" w:color="auto"/>
      </w:divBdr>
      <w:divsChild>
        <w:div w:id="1775051677">
          <w:marLeft w:val="0"/>
          <w:marRight w:val="0"/>
          <w:marTop w:val="0"/>
          <w:marBottom w:val="0"/>
          <w:divBdr>
            <w:top w:val="none" w:sz="0" w:space="0" w:color="3D3D3D"/>
            <w:left w:val="none" w:sz="0" w:space="0" w:color="3D3D3D"/>
            <w:bottom w:val="none" w:sz="0" w:space="0" w:color="3D3D3D"/>
            <w:right w:val="none" w:sz="0" w:space="0" w:color="3D3D3D"/>
          </w:divBdr>
        </w:div>
      </w:divsChild>
    </w:div>
    <w:div w:id="1260143268">
      <w:bodyDiv w:val="1"/>
      <w:marLeft w:val="0"/>
      <w:marRight w:val="0"/>
      <w:marTop w:val="0"/>
      <w:marBottom w:val="0"/>
      <w:divBdr>
        <w:top w:val="none" w:sz="0" w:space="0" w:color="auto"/>
        <w:left w:val="none" w:sz="0" w:space="0" w:color="auto"/>
        <w:bottom w:val="none" w:sz="0" w:space="0" w:color="auto"/>
        <w:right w:val="none" w:sz="0" w:space="0" w:color="auto"/>
      </w:divBdr>
      <w:divsChild>
        <w:div w:id="672150570">
          <w:marLeft w:val="0"/>
          <w:marRight w:val="0"/>
          <w:marTop w:val="0"/>
          <w:marBottom w:val="0"/>
          <w:divBdr>
            <w:top w:val="none" w:sz="0" w:space="0" w:color="3D3D3D"/>
            <w:left w:val="none" w:sz="0" w:space="0" w:color="3D3D3D"/>
            <w:bottom w:val="none" w:sz="0" w:space="0" w:color="3D3D3D"/>
            <w:right w:val="none" w:sz="0" w:space="0" w:color="3D3D3D"/>
          </w:divBdr>
          <w:divsChild>
            <w:div w:id="38595371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37536748">
      <w:bodyDiv w:val="1"/>
      <w:marLeft w:val="0"/>
      <w:marRight w:val="0"/>
      <w:marTop w:val="0"/>
      <w:marBottom w:val="0"/>
      <w:divBdr>
        <w:top w:val="none" w:sz="0" w:space="0" w:color="auto"/>
        <w:left w:val="none" w:sz="0" w:space="0" w:color="auto"/>
        <w:bottom w:val="none" w:sz="0" w:space="0" w:color="auto"/>
        <w:right w:val="none" w:sz="0" w:space="0" w:color="auto"/>
      </w:divBdr>
      <w:divsChild>
        <w:div w:id="2100639780">
          <w:marLeft w:val="0"/>
          <w:marRight w:val="0"/>
          <w:marTop w:val="0"/>
          <w:marBottom w:val="0"/>
          <w:divBdr>
            <w:top w:val="none" w:sz="0" w:space="0" w:color="3D3D3D"/>
            <w:left w:val="none" w:sz="0" w:space="0" w:color="3D3D3D"/>
            <w:bottom w:val="none" w:sz="0" w:space="0" w:color="3D3D3D"/>
            <w:right w:val="none" w:sz="0" w:space="0" w:color="3D3D3D"/>
          </w:divBdr>
        </w:div>
      </w:divsChild>
    </w:div>
    <w:div w:id="1379818371">
      <w:bodyDiv w:val="1"/>
      <w:marLeft w:val="0"/>
      <w:marRight w:val="0"/>
      <w:marTop w:val="0"/>
      <w:marBottom w:val="0"/>
      <w:divBdr>
        <w:top w:val="none" w:sz="0" w:space="0" w:color="auto"/>
        <w:left w:val="none" w:sz="0" w:space="0" w:color="auto"/>
        <w:bottom w:val="none" w:sz="0" w:space="0" w:color="auto"/>
        <w:right w:val="none" w:sz="0" w:space="0" w:color="auto"/>
      </w:divBdr>
      <w:divsChild>
        <w:div w:id="1020469069">
          <w:marLeft w:val="0"/>
          <w:marRight w:val="0"/>
          <w:marTop w:val="0"/>
          <w:marBottom w:val="0"/>
          <w:divBdr>
            <w:top w:val="none" w:sz="0" w:space="0" w:color="3D3D3D"/>
            <w:left w:val="none" w:sz="0" w:space="0" w:color="3D3D3D"/>
            <w:bottom w:val="none" w:sz="0" w:space="0" w:color="3D3D3D"/>
            <w:right w:val="none" w:sz="0" w:space="0" w:color="3D3D3D"/>
          </w:divBdr>
        </w:div>
      </w:divsChild>
    </w:div>
    <w:div w:id="1386680773">
      <w:bodyDiv w:val="1"/>
      <w:marLeft w:val="0"/>
      <w:marRight w:val="0"/>
      <w:marTop w:val="0"/>
      <w:marBottom w:val="0"/>
      <w:divBdr>
        <w:top w:val="none" w:sz="0" w:space="0" w:color="auto"/>
        <w:left w:val="none" w:sz="0" w:space="0" w:color="auto"/>
        <w:bottom w:val="none" w:sz="0" w:space="0" w:color="auto"/>
        <w:right w:val="none" w:sz="0" w:space="0" w:color="auto"/>
      </w:divBdr>
      <w:divsChild>
        <w:div w:id="277641543">
          <w:marLeft w:val="0"/>
          <w:marRight w:val="0"/>
          <w:marTop w:val="0"/>
          <w:marBottom w:val="0"/>
          <w:divBdr>
            <w:top w:val="none" w:sz="0" w:space="0" w:color="3D3D3D"/>
            <w:left w:val="none" w:sz="0" w:space="0" w:color="3D3D3D"/>
            <w:bottom w:val="none" w:sz="0" w:space="0" w:color="3D3D3D"/>
            <w:right w:val="none" w:sz="0" w:space="0" w:color="3D3D3D"/>
          </w:divBdr>
        </w:div>
      </w:divsChild>
    </w:div>
    <w:div w:id="1399596357">
      <w:bodyDiv w:val="1"/>
      <w:marLeft w:val="0"/>
      <w:marRight w:val="0"/>
      <w:marTop w:val="0"/>
      <w:marBottom w:val="0"/>
      <w:divBdr>
        <w:top w:val="none" w:sz="0" w:space="0" w:color="auto"/>
        <w:left w:val="none" w:sz="0" w:space="0" w:color="auto"/>
        <w:bottom w:val="none" w:sz="0" w:space="0" w:color="auto"/>
        <w:right w:val="none" w:sz="0" w:space="0" w:color="auto"/>
      </w:divBdr>
      <w:divsChild>
        <w:div w:id="1625115061">
          <w:marLeft w:val="0"/>
          <w:marRight w:val="0"/>
          <w:marTop w:val="0"/>
          <w:marBottom w:val="0"/>
          <w:divBdr>
            <w:top w:val="none" w:sz="0" w:space="0" w:color="3D3D3D"/>
            <w:left w:val="none" w:sz="0" w:space="0" w:color="3D3D3D"/>
            <w:bottom w:val="none" w:sz="0" w:space="0" w:color="3D3D3D"/>
            <w:right w:val="none" w:sz="0" w:space="0" w:color="3D3D3D"/>
          </w:divBdr>
        </w:div>
      </w:divsChild>
    </w:div>
    <w:div w:id="1415124857">
      <w:bodyDiv w:val="1"/>
      <w:marLeft w:val="0"/>
      <w:marRight w:val="0"/>
      <w:marTop w:val="0"/>
      <w:marBottom w:val="0"/>
      <w:divBdr>
        <w:top w:val="none" w:sz="0" w:space="0" w:color="auto"/>
        <w:left w:val="none" w:sz="0" w:space="0" w:color="auto"/>
        <w:bottom w:val="none" w:sz="0" w:space="0" w:color="auto"/>
        <w:right w:val="none" w:sz="0" w:space="0" w:color="auto"/>
      </w:divBdr>
      <w:divsChild>
        <w:div w:id="1363285075">
          <w:marLeft w:val="0"/>
          <w:marRight w:val="0"/>
          <w:marTop w:val="0"/>
          <w:marBottom w:val="0"/>
          <w:divBdr>
            <w:top w:val="none" w:sz="0" w:space="0" w:color="3D3D3D"/>
            <w:left w:val="none" w:sz="0" w:space="0" w:color="3D3D3D"/>
            <w:bottom w:val="none" w:sz="0" w:space="0" w:color="3D3D3D"/>
            <w:right w:val="none" w:sz="0" w:space="0" w:color="3D3D3D"/>
          </w:divBdr>
        </w:div>
      </w:divsChild>
    </w:div>
    <w:div w:id="1433168630">
      <w:bodyDiv w:val="1"/>
      <w:marLeft w:val="0"/>
      <w:marRight w:val="0"/>
      <w:marTop w:val="0"/>
      <w:marBottom w:val="0"/>
      <w:divBdr>
        <w:top w:val="none" w:sz="0" w:space="0" w:color="auto"/>
        <w:left w:val="none" w:sz="0" w:space="0" w:color="auto"/>
        <w:bottom w:val="none" w:sz="0" w:space="0" w:color="auto"/>
        <w:right w:val="none" w:sz="0" w:space="0" w:color="auto"/>
      </w:divBdr>
      <w:divsChild>
        <w:div w:id="908807979">
          <w:marLeft w:val="0"/>
          <w:marRight w:val="0"/>
          <w:marTop w:val="0"/>
          <w:marBottom w:val="0"/>
          <w:divBdr>
            <w:top w:val="none" w:sz="0" w:space="0" w:color="3D3D3D"/>
            <w:left w:val="none" w:sz="0" w:space="0" w:color="3D3D3D"/>
            <w:bottom w:val="none" w:sz="0" w:space="0" w:color="3D3D3D"/>
            <w:right w:val="none" w:sz="0" w:space="0" w:color="3D3D3D"/>
          </w:divBdr>
        </w:div>
      </w:divsChild>
    </w:div>
    <w:div w:id="1441492926">
      <w:bodyDiv w:val="1"/>
      <w:marLeft w:val="0"/>
      <w:marRight w:val="0"/>
      <w:marTop w:val="0"/>
      <w:marBottom w:val="0"/>
      <w:divBdr>
        <w:top w:val="none" w:sz="0" w:space="0" w:color="auto"/>
        <w:left w:val="none" w:sz="0" w:space="0" w:color="auto"/>
        <w:bottom w:val="none" w:sz="0" w:space="0" w:color="auto"/>
        <w:right w:val="none" w:sz="0" w:space="0" w:color="auto"/>
      </w:divBdr>
      <w:divsChild>
        <w:div w:id="1861771573">
          <w:marLeft w:val="0"/>
          <w:marRight w:val="0"/>
          <w:marTop w:val="0"/>
          <w:marBottom w:val="0"/>
          <w:divBdr>
            <w:top w:val="none" w:sz="0" w:space="0" w:color="3D3D3D"/>
            <w:left w:val="none" w:sz="0" w:space="0" w:color="3D3D3D"/>
            <w:bottom w:val="none" w:sz="0" w:space="0" w:color="3D3D3D"/>
            <w:right w:val="none" w:sz="0" w:space="0" w:color="3D3D3D"/>
          </w:divBdr>
        </w:div>
      </w:divsChild>
    </w:div>
    <w:div w:id="1443304445">
      <w:bodyDiv w:val="1"/>
      <w:marLeft w:val="0"/>
      <w:marRight w:val="0"/>
      <w:marTop w:val="0"/>
      <w:marBottom w:val="0"/>
      <w:divBdr>
        <w:top w:val="none" w:sz="0" w:space="0" w:color="auto"/>
        <w:left w:val="none" w:sz="0" w:space="0" w:color="auto"/>
        <w:bottom w:val="none" w:sz="0" w:space="0" w:color="auto"/>
        <w:right w:val="none" w:sz="0" w:space="0" w:color="auto"/>
      </w:divBdr>
      <w:divsChild>
        <w:div w:id="1184251393">
          <w:marLeft w:val="0"/>
          <w:marRight w:val="0"/>
          <w:marTop w:val="0"/>
          <w:marBottom w:val="0"/>
          <w:divBdr>
            <w:top w:val="none" w:sz="0" w:space="0" w:color="3D3D3D"/>
            <w:left w:val="none" w:sz="0" w:space="0" w:color="3D3D3D"/>
            <w:bottom w:val="none" w:sz="0" w:space="0" w:color="3D3D3D"/>
            <w:right w:val="none" w:sz="0" w:space="0" w:color="3D3D3D"/>
          </w:divBdr>
          <w:divsChild>
            <w:div w:id="38656382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45271125">
      <w:bodyDiv w:val="1"/>
      <w:marLeft w:val="0"/>
      <w:marRight w:val="0"/>
      <w:marTop w:val="0"/>
      <w:marBottom w:val="0"/>
      <w:divBdr>
        <w:top w:val="none" w:sz="0" w:space="0" w:color="auto"/>
        <w:left w:val="none" w:sz="0" w:space="0" w:color="auto"/>
        <w:bottom w:val="none" w:sz="0" w:space="0" w:color="auto"/>
        <w:right w:val="none" w:sz="0" w:space="0" w:color="auto"/>
      </w:divBdr>
      <w:divsChild>
        <w:div w:id="1494376911">
          <w:marLeft w:val="0"/>
          <w:marRight w:val="0"/>
          <w:marTop w:val="0"/>
          <w:marBottom w:val="0"/>
          <w:divBdr>
            <w:top w:val="none" w:sz="0" w:space="0" w:color="3D3D3D"/>
            <w:left w:val="none" w:sz="0" w:space="0" w:color="3D3D3D"/>
            <w:bottom w:val="none" w:sz="0" w:space="0" w:color="3D3D3D"/>
            <w:right w:val="none" w:sz="0" w:space="0" w:color="3D3D3D"/>
          </w:divBdr>
        </w:div>
      </w:divsChild>
    </w:div>
    <w:div w:id="1453936703">
      <w:bodyDiv w:val="1"/>
      <w:marLeft w:val="0"/>
      <w:marRight w:val="0"/>
      <w:marTop w:val="0"/>
      <w:marBottom w:val="0"/>
      <w:divBdr>
        <w:top w:val="none" w:sz="0" w:space="0" w:color="auto"/>
        <w:left w:val="none" w:sz="0" w:space="0" w:color="auto"/>
        <w:bottom w:val="none" w:sz="0" w:space="0" w:color="auto"/>
        <w:right w:val="none" w:sz="0" w:space="0" w:color="auto"/>
      </w:divBdr>
      <w:divsChild>
        <w:div w:id="350108955">
          <w:marLeft w:val="0"/>
          <w:marRight w:val="0"/>
          <w:marTop w:val="0"/>
          <w:marBottom w:val="0"/>
          <w:divBdr>
            <w:top w:val="none" w:sz="0" w:space="0" w:color="3D3D3D"/>
            <w:left w:val="none" w:sz="0" w:space="0" w:color="3D3D3D"/>
            <w:bottom w:val="none" w:sz="0" w:space="0" w:color="3D3D3D"/>
            <w:right w:val="none" w:sz="0" w:space="0" w:color="3D3D3D"/>
          </w:divBdr>
        </w:div>
      </w:divsChild>
    </w:div>
    <w:div w:id="1474828604">
      <w:bodyDiv w:val="1"/>
      <w:marLeft w:val="0"/>
      <w:marRight w:val="0"/>
      <w:marTop w:val="0"/>
      <w:marBottom w:val="0"/>
      <w:divBdr>
        <w:top w:val="none" w:sz="0" w:space="0" w:color="auto"/>
        <w:left w:val="none" w:sz="0" w:space="0" w:color="auto"/>
        <w:bottom w:val="none" w:sz="0" w:space="0" w:color="auto"/>
        <w:right w:val="none" w:sz="0" w:space="0" w:color="auto"/>
      </w:divBdr>
      <w:divsChild>
        <w:div w:id="1537427069">
          <w:marLeft w:val="0"/>
          <w:marRight w:val="0"/>
          <w:marTop w:val="0"/>
          <w:marBottom w:val="0"/>
          <w:divBdr>
            <w:top w:val="none" w:sz="0" w:space="0" w:color="3D3D3D"/>
            <w:left w:val="none" w:sz="0" w:space="0" w:color="3D3D3D"/>
            <w:bottom w:val="none" w:sz="0" w:space="0" w:color="3D3D3D"/>
            <w:right w:val="none" w:sz="0" w:space="0" w:color="3D3D3D"/>
          </w:divBdr>
        </w:div>
      </w:divsChild>
    </w:div>
    <w:div w:id="1506894553">
      <w:bodyDiv w:val="1"/>
      <w:marLeft w:val="0"/>
      <w:marRight w:val="0"/>
      <w:marTop w:val="0"/>
      <w:marBottom w:val="0"/>
      <w:divBdr>
        <w:top w:val="none" w:sz="0" w:space="0" w:color="auto"/>
        <w:left w:val="none" w:sz="0" w:space="0" w:color="auto"/>
        <w:bottom w:val="none" w:sz="0" w:space="0" w:color="auto"/>
        <w:right w:val="none" w:sz="0" w:space="0" w:color="auto"/>
      </w:divBdr>
      <w:divsChild>
        <w:div w:id="395200055">
          <w:marLeft w:val="0"/>
          <w:marRight w:val="0"/>
          <w:marTop w:val="0"/>
          <w:marBottom w:val="0"/>
          <w:divBdr>
            <w:top w:val="none" w:sz="0" w:space="0" w:color="3D3D3D"/>
            <w:left w:val="none" w:sz="0" w:space="0" w:color="3D3D3D"/>
            <w:bottom w:val="none" w:sz="0" w:space="0" w:color="3D3D3D"/>
            <w:right w:val="none" w:sz="0" w:space="0" w:color="3D3D3D"/>
          </w:divBdr>
          <w:divsChild>
            <w:div w:id="207311569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48840004">
      <w:bodyDiv w:val="1"/>
      <w:marLeft w:val="0"/>
      <w:marRight w:val="0"/>
      <w:marTop w:val="0"/>
      <w:marBottom w:val="0"/>
      <w:divBdr>
        <w:top w:val="none" w:sz="0" w:space="0" w:color="auto"/>
        <w:left w:val="none" w:sz="0" w:space="0" w:color="auto"/>
        <w:bottom w:val="none" w:sz="0" w:space="0" w:color="auto"/>
        <w:right w:val="none" w:sz="0" w:space="0" w:color="auto"/>
      </w:divBdr>
      <w:divsChild>
        <w:div w:id="98263272">
          <w:marLeft w:val="0"/>
          <w:marRight w:val="0"/>
          <w:marTop w:val="0"/>
          <w:marBottom w:val="0"/>
          <w:divBdr>
            <w:top w:val="none" w:sz="0" w:space="0" w:color="3D3D3D"/>
            <w:left w:val="none" w:sz="0" w:space="0" w:color="3D3D3D"/>
            <w:bottom w:val="none" w:sz="0" w:space="0" w:color="3D3D3D"/>
            <w:right w:val="none" w:sz="0" w:space="0" w:color="3D3D3D"/>
          </w:divBdr>
        </w:div>
      </w:divsChild>
    </w:div>
    <w:div w:id="1553541919">
      <w:bodyDiv w:val="1"/>
      <w:marLeft w:val="0"/>
      <w:marRight w:val="0"/>
      <w:marTop w:val="0"/>
      <w:marBottom w:val="0"/>
      <w:divBdr>
        <w:top w:val="none" w:sz="0" w:space="0" w:color="auto"/>
        <w:left w:val="none" w:sz="0" w:space="0" w:color="auto"/>
        <w:bottom w:val="none" w:sz="0" w:space="0" w:color="auto"/>
        <w:right w:val="none" w:sz="0" w:space="0" w:color="auto"/>
      </w:divBdr>
      <w:divsChild>
        <w:div w:id="1651012031">
          <w:marLeft w:val="0"/>
          <w:marRight w:val="0"/>
          <w:marTop w:val="0"/>
          <w:marBottom w:val="0"/>
          <w:divBdr>
            <w:top w:val="none" w:sz="0" w:space="0" w:color="3D3D3D"/>
            <w:left w:val="none" w:sz="0" w:space="0" w:color="3D3D3D"/>
            <w:bottom w:val="none" w:sz="0" w:space="0" w:color="3D3D3D"/>
            <w:right w:val="none" w:sz="0" w:space="0" w:color="3D3D3D"/>
          </w:divBdr>
          <w:divsChild>
            <w:div w:id="188903017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83566077">
      <w:bodyDiv w:val="1"/>
      <w:marLeft w:val="0"/>
      <w:marRight w:val="0"/>
      <w:marTop w:val="0"/>
      <w:marBottom w:val="0"/>
      <w:divBdr>
        <w:top w:val="none" w:sz="0" w:space="0" w:color="auto"/>
        <w:left w:val="none" w:sz="0" w:space="0" w:color="auto"/>
        <w:bottom w:val="none" w:sz="0" w:space="0" w:color="auto"/>
        <w:right w:val="none" w:sz="0" w:space="0" w:color="auto"/>
      </w:divBdr>
      <w:divsChild>
        <w:div w:id="1247879496">
          <w:marLeft w:val="0"/>
          <w:marRight w:val="0"/>
          <w:marTop w:val="0"/>
          <w:marBottom w:val="0"/>
          <w:divBdr>
            <w:top w:val="none" w:sz="0" w:space="0" w:color="3D3D3D"/>
            <w:left w:val="none" w:sz="0" w:space="0" w:color="3D3D3D"/>
            <w:bottom w:val="none" w:sz="0" w:space="0" w:color="3D3D3D"/>
            <w:right w:val="none" w:sz="0" w:space="0" w:color="3D3D3D"/>
          </w:divBdr>
          <w:divsChild>
            <w:div w:id="138340155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85606100">
      <w:bodyDiv w:val="1"/>
      <w:marLeft w:val="0"/>
      <w:marRight w:val="0"/>
      <w:marTop w:val="0"/>
      <w:marBottom w:val="0"/>
      <w:divBdr>
        <w:top w:val="none" w:sz="0" w:space="0" w:color="auto"/>
        <w:left w:val="none" w:sz="0" w:space="0" w:color="auto"/>
        <w:bottom w:val="none" w:sz="0" w:space="0" w:color="auto"/>
        <w:right w:val="none" w:sz="0" w:space="0" w:color="auto"/>
      </w:divBdr>
      <w:divsChild>
        <w:div w:id="2020541766">
          <w:marLeft w:val="0"/>
          <w:marRight w:val="0"/>
          <w:marTop w:val="0"/>
          <w:marBottom w:val="0"/>
          <w:divBdr>
            <w:top w:val="none" w:sz="0" w:space="0" w:color="3D3D3D"/>
            <w:left w:val="none" w:sz="0" w:space="0" w:color="3D3D3D"/>
            <w:bottom w:val="none" w:sz="0" w:space="0" w:color="3D3D3D"/>
            <w:right w:val="none" w:sz="0" w:space="0" w:color="3D3D3D"/>
          </w:divBdr>
          <w:divsChild>
            <w:div w:id="160006200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35062567">
      <w:bodyDiv w:val="1"/>
      <w:marLeft w:val="0"/>
      <w:marRight w:val="0"/>
      <w:marTop w:val="0"/>
      <w:marBottom w:val="0"/>
      <w:divBdr>
        <w:top w:val="none" w:sz="0" w:space="0" w:color="auto"/>
        <w:left w:val="none" w:sz="0" w:space="0" w:color="auto"/>
        <w:bottom w:val="none" w:sz="0" w:space="0" w:color="auto"/>
        <w:right w:val="none" w:sz="0" w:space="0" w:color="auto"/>
      </w:divBdr>
      <w:divsChild>
        <w:div w:id="1622344119">
          <w:marLeft w:val="0"/>
          <w:marRight w:val="0"/>
          <w:marTop w:val="0"/>
          <w:marBottom w:val="0"/>
          <w:divBdr>
            <w:top w:val="none" w:sz="0" w:space="0" w:color="3D3D3D"/>
            <w:left w:val="none" w:sz="0" w:space="0" w:color="3D3D3D"/>
            <w:bottom w:val="none" w:sz="0" w:space="0" w:color="3D3D3D"/>
            <w:right w:val="none" w:sz="0" w:space="0" w:color="3D3D3D"/>
          </w:divBdr>
        </w:div>
      </w:divsChild>
    </w:div>
    <w:div w:id="1705474494">
      <w:bodyDiv w:val="1"/>
      <w:marLeft w:val="0"/>
      <w:marRight w:val="0"/>
      <w:marTop w:val="0"/>
      <w:marBottom w:val="0"/>
      <w:divBdr>
        <w:top w:val="none" w:sz="0" w:space="0" w:color="auto"/>
        <w:left w:val="none" w:sz="0" w:space="0" w:color="auto"/>
        <w:bottom w:val="none" w:sz="0" w:space="0" w:color="auto"/>
        <w:right w:val="none" w:sz="0" w:space="0" w:color="auto"/>
      </w:divBdr>
      <w:divsChild>
        <w:div w:id="138815520">
          <w:marLeft w:val="0"/>
          <w:marRight w:val="0"/>
          <w:marTop w:val="0"/>
          <w:marBottom w:val="0"/>
          <w:divBdr>
            <w:top w:val="none" w:sz="0" w:space="0" w:color="3D3D3D"/>
            <w:left w:val="none" w:sz="0" w:space="0" w:color="3D3D3D"/>
            <w:bottom w:val="none" w:sz="0" w:space="0" w:color="3D3D3D"/>
            <w:right w:val="none" w:sz="0" w:space="0" w:color="3D3D3D"/>
          </w:divBdr>
        </w:div>
      </w:divsChild>
    </w:div>
    <w:div w:id="1753626958">
      <w:bodyDiv w:val="1"/>
      <w:marLeft w:val="0"/>
      <w:marRight w:val="0"/>
      <w:marTop w:val="0"/>
      <w:marBottom w:val="0"/>
      <w:divBdr>
        <w:top w:val="none" w:sz="0" w:space="0" w:color="auto"/>
        <w:left w:val="none" w:sz="0" w:space="0" w:color="auto"/>
        <w:bottom w:val="none" w:sz="0" w:space="0" w:color="auto"/>
        <w:right w:val="none" w:sz="0" w:space="0" w:color="auto"/>
      </w:divBdr>
      <w:divsChild>
        <w:div w:id="475151857">
          <w:marLeft w:val="0"/>
          <w:marRight w:val="0"/>
          <w:marTop w:val="0"/>
          <w:marBottom w:val="0"/>
          <w:divBdr>
            <w:top w:val="none" w:sz="0" w:space="0" w:color="3D3D3D"/>
            <w:left w:val="none" w:sz="0" w:space="0" w:color="3D3D3D"/>
            <w:bottom w:val="none" w:sz="0" w:space="0" w:color="3D3D3D"/>
            <w:right w:val="none" w:sz="0" w:space="0" w:color="3D3D3D"/>
          </w:divBdr>
        </w:div>
      </w:divsChild>
    </w:div>
    <w:div w:id="1838840291">
      <w:bodyDiv w:val="1"/>
      <w:marLeft w:val="0"/>
      <w:marRight w:val="0"/>
      <w:marTop w:val="0"/>
      <w:marBottom w:val="0"/>
      <w:divBdr>
        <w:top w:val="none" w:sz="0" w:space="0" w:color="auto"/>
        <w:left w:val="none" w:sz="0" w:space="0" w:color="auto"/>
        <w:bottom w:val="none" w:sz="0" w:space="0" w:color="auto"/>
        <w:right w:val="none" w:sz="0" w:space="0" w:color="auto"/>
      </w:divBdr>
      <w:divsChild>
        <w:div w:id="95102021">
          <w:marLeft w:val="0"/>
          <w:marRight w:val="0"/>
          <w:marTop w:val="0"/>
          <w:marBottom w:val="0"/>
          <w:divBdr>
            <w:top w:val="none" w:sz="0" w:space="0" w:color="3D3D3D"/>
            <w:left w:val="none" w:sz="0" w:space="0" w:color="3D3D3D"/>
            <w:bottom w:val="none" w:sz="0" w:space="0" w:color="3D3D3D"/>
            <w:right w:val="none" w:sz="0" w:space="0" w:color="3D3D3D"/>
          </w:divBdr>
          <w:divsChild>
            <w:div w:id="98509082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55653145">
      <w:bodyDiv w:val="1"/>
      <w:marLeft w:val="0"/>
      <w:marRight w:val="0"/>
      <w:marTop w:val="0"/>
      <w:marBottom w:val="0"/>
      <w:divBdr>
        <w:top w:val="none" w:sz="0" w:space="0" w:color="auto"/>
        <w:left w:val="none" w:sz="0" w:space="0" w:color="auto"/>
        <w:bottom w:val="none" w:sz="0" w:space="0" w:color="auto"/>
        <w:right w:val="none" w:sz="0" w:space="0" w:color="auto"/>
      </w:divBdr>
      <w:divsChild>
        <w:div w:id="2146729602">
          <w:marLeft w:val="0"/>
          <w:marRight w:val="0"/>
          <w:marTop w:val="0"/>
          <w:marBottom w:val="0"/>
          <w:divBdr>
            <w:top w:val="none" w:sz="0" w:space="0" w:color="3D3D3D"/>
            <w:left w:val="none" w:sz="0" w:space="0" w:color="3D3D3D"/>
            <w:bottom w:val="none" w:sz="0" w:space="0" w:color="3D3D3D"/>
            <w:right w:val="none" w:sz="0" w:space="0" w:color="3D3D3D"/>
          </w:divBdr>
        </w:div>
      </w:divsChild>
    </w:div>
    <w:div w:id="1895265523">
      <w:bodyDiv w:val="1"/>
      <w:marLeft w:val="0"/>
      <w:marRight w:val="0"/>
      <w:marTop w:val="0"/>
      <w:marBottom w:val="0"/>
      <w:divBdr>
        <w:top w:val="none" w:sz="0" w:space="0" w:color="auto"/>
        <w:left w:val="none" w:sz="0" w:space="0" w:color="auto"/>
        <w:bottom w:val="none" w:sz="0" w:space="0" w:color="auto"/>
        <w:right w:val="none" w:sz="0" w:space="0" w:color="auto"/>
      </w:divBdr>
    </w:div>
    <w:div w:id="1917663615">
      <w:bodyDiv w:val="1"/>
      <w:marLeft w:val="0"/>
      <w:marRight w:val="0"/>
      <w:marTop w:val="0"/>
      <w:marBottom w:val="0"/>
      <w:divBdr>
        <w:top w:val="none" w:sz="0" w:space="0" w:color="auto"/>
        <w:left w:val="none" w:sz="0" w:space="0" w:color="auto"/>
        <w:bottom w:val="none" w:sz="0" w:space="0" w:color="auto"/>
        <w:right w:val="none" w:sz="0" w:space="0" w:color="auto"/>
      </w:divBdr>
      <w:divsChild>
        <w:div w:id="571627365">
          <w:marLeft w:val="0"/>
          <w:marRight w:val="0"/>
          <w:marTop w:val="0"/>
          <w:marBottom w:val="0"/>
          <w:divBdr>
            <w:top w:val="none" w:sz="0" w:space="0" w:color="3D3D3D"/>
            <w:left w:val="none" w:sz="0" w:space="0" w:color="3D3D3D"/>
            <w:bottom w:val="none" w:sz="0" w:space="0" w:color="3D3D3D"/>
            <w:right w:val="none" w:sz="0" w:space="0" w:color="3D3D3D"/>
          </w:divBdr>
          <w:divsChild>
            <w:div w:id="153126558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30583163">
      <w:bodyDiv w:val="1"/>
      <w:marLeft w:val="0"/>
      <w:marRight w:val="0"/>
      <w:marTop w:val="0"/>
      <w:marBottom w:val="0"/>
      <w:divBdr>
        <w:top w:val="none" w:sz="0" w:space="0" w:color="auto"/>
        <w:left w:val="none" w:sz="0" w:space="0" w:color="auto"/>
        <w:bottom w:val="none" w:sz="0" w:space="0" w:color="auto"/>
        <w:right w:val="none" w:sz="0" w:space="0" w:color="auto"/>
      </w:divBdr>
      <w:divsChild>
        <w:div w:id="1522276864">
          <w:marLeft w:val="0"/>
          <w:marRight w:val="0"/>
          <w:marTop w:val="0"/>
          <w:marBottom w:val="0"/>
          <w:divBdr>
            <w:top w:val="none" w:sz="0" w:space="0" w:color="3D3D3D"/>
            <w:left w:val="none" w:sz="0" w:space="0" w:color="3D3D3D"/>
            <w:bottom w:val="none" w:sz="0" w:space="0" w:color="3D3D3D"/>
            <w:right w:val="none" w:sz="0" w:space="0" w:color="3D3D3D"/>
          </w:divBdr>
          <w:divsChild>
            <w:div w:id="29892073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49040985">
      <w:bodyDiv w:val="1"/>
      <w:marLeft w:val="0"/>
      <w:marRight w:val="0"/>
      <w:marTop w:val="0"/>
      <w:marBottom w:val="0"/>
      <w:divBdr>
        <w:top w:val="none" w:sz="0" w:space="0" w:color="auto"/>
        <w:left w:val="none" w:sz="0" w:space="0" w:color="auto"/>
        <w:bottom w:val="none" w:sz="0" w:space="0" w:color="auto"/>
        <w:right w:val="none" w:sz="0" w:space="0" w:color="auto"/>
      </w:divBdr>
      <w:divsChild>
        <w:div w:id="783353009">
          <w:marLeft w:val="0"/>
          <w:marRight w:val="0"/>
          <w:marTop w:val="0"/>
          <w:marBottom w:val="0"/>
          <w:divBdr>
            <w:top w:val="none" w:sz="0" w:space="0" w:color="3D3D3D"/>
            <w:left w:val="none" w:sz="0" w:space="0" w:color="3D3D3D"/>
            <w:bottom w:val="none" w:sz="0" w:space="0" w:color="3D3D3D"/>
            <w:right w:val="none" w:sz="0" w:space="0" w:color="3D3D3D"/>
          </w:divBdr>
        </w:div>
      </w:divsChild>
    </w:div>
    <w:div w:id="1991903446">
      <w:bodyDiv w:val="1"/>
      <w:marLeft w:val="0"/>
      <w:marRight w:val="0"/>
      <w:marTop w:val="0"/>
      <w:marBottom w:val="0"/>
      <w:divBdr>
        <w:top w:val="none" w:sz="0" w:space="0" w:color="auto"/>
        <w:left w:val="none" w:sz="0" w:space="0" w:color="auto"/>
        <w:bottom w:val="none" w:sz="0" w:space="0" w:color="auto"/>
        <w:right w:val="none" w:sz="0" w:space="0" w:color="auto"/>
      </w:divBdr>
      <w:divsChild>
        <w:div w:id="697897915">
          <w:marLeft w:val="0"/>
          <w:marRight w:val="0"/>
          <w:marTop w:val="0"/>
          <w:marBottom w:val="0"/>
          <w:divBdr>
            <w:top w:val="none" w:sz="0" w:space="0" w:color="3D3D3D"/>
            <w:left w:val="none" w:sz="0" w:space="0" w:color="3D3D3D"/>
            <w:bottom w:val="none" w:sz="0" w:space="0" w:color="3D3D3D"/>
            <w:right w:val="none" w:sz="0" w:space="0" w:color="3D3D3D"/>
          </w:divBdr>
        </w:div>
      </w:divsChild>
    </w:div>
    <w:div w:id="2051611978">
      <w:bodyDiv w:val="1"/>
      <w:marLeft w:val="0"/>
      <w:marRight w:val="0"/>
      <w:marTop w:val="0"/>
      <w:marBottom w:val="0"/>
      <w:divBdr>
        <w:top w:val="none" w:sz="0" w:space="0" w:color="auto"/>
        <w:left w:val="none" w:sz="0" w:space="0" w:color="auto"/>
        <w:bottom w:val="none" w:sz="0" w:space="0" w:color="auto"/>
        <w:right w:val="none" w:sz="0" w:space="0" w:color="auto"/>
      </w:divBdr>
    </w:div>
    <w:div w:id="2077240127">
      <w:bodyDiv w:val="1"/>
      <w:marLeft w:val="0"/>
      <w:marRight w:val="0"/>
      <w:marTop w:val="0"/>
      <w:marBottom w:val="0"/>
      <w:divBdr>
        <w:top w:val="none" w:sz="0" w:space="0" w:color="auto"/>
        <w:left w:val="none" w:sz="0" w:space="0" w:color="auto"/>
        <w:bottom w:val="none" w:sz="0" w:space="0" w:color="auto"/>
        <w:right w:val="none" w:sz="0" w:space="0" w:color="auto"/>
      </w:divBdr>
      <w:divsChild>
        <w:div w:id="2037149700">
          <w:marLeft w:val="0"/>
          <w:marRight w:val="0"/>
          <w:marTop w:val="0"/>
          <w:marBottom w:val="0"/>
          <w:divBdr>
            <w:top w:val="none" w:sz="0" w:space="0" w:color="3D3D3D"/>
            <w:left w:val="none" w:sz="0" w:space="0" w:color="3D3D3D"/>
            <w:bottom w:val="none" w:sz="0" w:space="0" w:color="3D3D3D"/>
            <w:right w:val="none" w:sz="0" w:space="0" w:color="3D3D3D"/>
          </w:divBdr>
        </w:div>
      </w:divsChild>
    </w:div>
    <w:div w:id="2085565544">
      <w:bodyDiv w:val="1"/>
      <w:marLeft w:val="0"/>
      <w:marRight w:val="0"/>
      <w:marTop w:val="0"/>
      <w:marBottom w:val="0"/>
      <w:divBdr>
        <w:top w:val="none" w:sz="0" w:space="0" w:color="auto"/>
        <w:left w:val="none" w:sz="0" w:space="0" w:color="auto"/>
        <w:bottom w:val="none" w:sz="0" w:space="0" w:color="auto"/>
        <w:right w:val="none" w:sz="0" w:space="0" w:color="auto"/>
      </w:divBdr>
      <w:divsChild>
        <w:div w:id="83649359">
          <w:marLeft w:val="0"/>
          <w:marRight w:val="0"/>
          <w:marTop w:val="0"/>
          <w:marBottom w:val="0"/>
          <w:divBdr>
            <w:top w:val="none" w:sz="0" w:space="0" w:color="3D3D3D"/>
            <w:left w:val="none" w:sz="0" w:space="0" w:color="3D3D3D"/>
            <w:bottom w:val="none" w:sz="0" w:space="0" w:color="3D3D3D"/>
            <w:right w:val="none" w:sz="0" w:space="0" w:color="3D3D3D"/>
          </w:divBdr>
          <w:divsChild>
            <w:div w:id="165579547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88915941">
      <w:bodyDiv w:val="1"/>
      <w:marLeft w:val="0"/>
      <w:marRight w:val="0"/>
      <w:marTop w:val="0"/>
      <w:marBottom w:val="0"/>
      <w:divBdr>
        <w:top w:val="none" w:sz="0" w:space="0" w:color="auto"/>
        <w:left w:val="none" w:sz="0" w:space="0" w:color="auto"/>
        <w:bottom w:val="none" w:sz="0" w:space="0" w:color="auto"/>
        <w:right w:val="none" w:sz="0" w:space="0" w:color="auto"/>
      </w:divBdr>
    </w:div>
    <w:div w:id="2092769751">
      <w:bodyDiv w:val="1"/>
      <w:marLeft w:val="0"/>
      <w:marRight w:val="0"/>
      <w:marTop w:val="0"/>
      <w:marBottom w:val="0"/>
      <w:divBdr>
        <w:top w:val="none" w:sz="0" w:space="0" w:color="auto"/>
        <w:left w:val="none" w:sz="0" w:space="0" w:color="auto"/>
        <w:bottom w:val="none" w:sz="0" w:space="0" w:color="auto"/>
        <w:right w:val="none" w:sz="0" w:space="0" w:color="auto"/>
      </w:divBdr>
      <w:divsChild>
        <w:div w:id="108672888">
          <w:marLeft w:val="0"/>
          <w:marRight w:val="0"/>
          <w:marTop w:val="0"/>
          <w:marBottom w:val="0"/>
          <w:divBdr>
            <w:top w:val="none" w:sz="0" w:space="0" w:color="3D3D3D"/>
            <w:left w:val="none" w:sz="0" w:space="0" w:color="3D3D3D"/>
            <w:bottom w:val="none" w:sz="0" w:space="0" w:color="3D3D3D"/>
            <w:right w:val="none" w:sz="0" w:space="0" w:color="3D3D3D"/>
          </w:divBdr>
          <w:divsChild>
            <w:div w:id="89077086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106148214">
      <w:bodyDiv w:val="1"/>
      <w:marLeft w:val="0"/>
      <w:marRight w:val="0"/>
      <w:marTop w:val="0"/>
      <w:marBottom w:val="0"/>
      <w:divBdr>
        <w:top w:val="none" w:sz="0" w:space="0" w:color="auto"/>
        <w:left w:val="none" w:sz="0" w:space="0" w:color="auto"/>
        <w:bottom w:val="none" w:sz="0" w:space="0" w:color="auto"/>
        <w:right w:val="none" w:sz="0" w:space="0" w:color="auto"/>
      </w:divBdr>
    </w:div>
    <w:div w:id="2108843178">
      <w:bodyDiv w:val="1"/>
      <w:marLeft w:val="0"/>
      <w:marRight w:val="0"/>
      <w:marTop w:val="0"/>
      <w:marBottom w:val="0"/>
      <w:divBdr>
        <w:top w:val="none" w:sz="0" w:space="0" w:color="auto"/>
        <w:left w:val="none" w:sz="0" w:space="0" w:color="auto"/>
        <w:bottom w:val="none" w:sz="0" w:space="0" w:color="auto"/>
        <w:right w:val="none" w:sz="0" w:space="0" w:color="auto"/>
      </w:divBdr>
      <w:divsChild>
        <w:div w:id="774596258">
          <w:marLeft w:val="0"/>
          <w:marRight w:val="0"/>
          <w:marTop w:val="0"/>
          <w:marBottom w:val="0"/>
          <w:divBdr>
            <w:top w:val="none" w:sz="0" w:space="0" w:color="3D3D3D"/>
            <w:left w:val="none" w:sz="0" w:space="0" w:color="3D3D3D"/>
            <w:bottom w:val="none" w:sz="0" w:space="0" w:color="3D3D3D"/>
            <w:right w:val="none" w:sz="0" w:space="0" w:color="3D3D3D"/>
          </w:divBdr>
        </w:div>
      </w:divsChild>
    </w:div>
    <w:div w:id="2142647002">
      <w:bodyDiv w:val="1"/>
      <w:marLeft w:val="0"/>
      <w:marRight w:val="0"/>
      <w:marTop w:val="0"/>
      <w:marBottom w:val="0"/>
      <w:divBdr>
        <w:top w:val="none" w:sz="0" w:space="0" w:color="auto"/>
        <w:left w:val="none" w:sz="0" w:space="0" w:color="auto"/>
        <w:bottom w:val="none" w:sz="0" w:space="0" w:color="auto"/>
        <w:right w:val="none" w:sz="0" w:space="0" w:color="auto"/>
      </w:divBdr>
      <w:divsChild>
        <w:div w:id="38627288">
          <w:marLeft w:val="0"/>
          <w:marRight w:val="0"/>
          <w:marTop w:val="0"/>
          <w:marBottom w:val="0"/>
          <w:divBdr>
            <w:top w:val="none" w:sz="0" w:space="0" w:color="3D3D3D"/>
            <w:left w:val="none" w:sz="0" w:space="0" w:color="3D3D3D"/>
            <w:bottom w:val="none" w:sz="0" w:space="0" w:color="3D3D3D"/>
            <w:right w:val="none" w:sz="0" w:space="0" w:color="3D3D3D"/>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oxrob.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docs.google.com/spreadsheets/d/18Yo4mC4-WFGr0euD2TIRgye3GVmti4ODyDicgTnI8eE/edit?gid=1972431317" TargetMode="External"/><Relationship Id="rId7" Type="http://schemas.openxmlformats.org/officeDocument/2006/relationships/hyperlink" Target="https://1.next.westlaw.com/Document/Ia09d4ba99c9a11d993e6d35cc61aab4a/View/FullText.html?transitionType=Default&amp;contextData=(oc.Default)&amp;documentSection=co_pp_sp_780_194%2Cco_pp_sp_708_689" TargetMode="External"/><Relationship Id="rId2" Type="http://schemas.openxmlformats.org/officeDocument/2006/relationships/hyperlink" Target="https://foxrob.com/wp-content/uploads/2026/03/1978-HEW-regs.docx" TargetMode="External"/><Relationship Id="rId1" Type="http://schemas.openxmlformats.org/officeDocument/2006/relationships/hyperlink" Target="https://escholarship.org/uc/item/7140n8f3" TargetMode="External"/><Relationship Id="rId6" Type="http://schemas.openxmlformats.org/officeDocument/2006/relationships/hyperlink" Target="https://foxrob.com/wp-content/uploads/2026/03/1978-04-24-S-Rep-95-890-RA-Amd-1978.pdf" TargetMode="External"/><Relationship Id="rId5" Type="http://schemas.openxmlformats.org/officeDocument/2006/relationships/hyperlink" Target="https://foxrob.com/wp-content/uploads/2026/03/1978-04-24-S-Rep-95-890-RA-Amd-1978.pdf" TargetMode="External"/><Relationship Id="rId4" Type="http://schemas.openxmlformats.org/officeDocument/2006/relationships/hyperlink" Target="https://www.law.cornell.edu/uscode/text/42/chapter-1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8f31e51-431e-43a4-871b-07ad4ce5a241" xsi:nil="true"/>
    <_ip_UnifiedCompliancePolicyUIAction xmlns="http://schemas.microsoft.com/sharepoint/v3" xsi:nil="true"/>
    <_ip_UnifiedCompliancePolicyProperties xmlns="http://schemas.microsoft.com/sharepoint/v3" xsi:nil="true"/>
    <lcf76f155ced4ddcb4097134ff3c332f xmlns="a431dfe5-8aa0-4f22-b20d-b06a7f021f0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87362B76AA7DE45B63AE41510D3060A" ma:contentTypeVersion="20" ma:contentTypeDescription="Create a new document." ma:contentTypeScope="" ma:versionID="3d662a7545bf7b22b4231a1b1983d98b">
  <xsd:schema xmlns:xsd="http://www.w3.org/2001/XMLSchema" xmlns:xs="http://www.w3.org/2001/XMLSchema" xmlns:p="http://schemas.microsoft.com/office/2006/metadata/properties" xmlns:ns1="http://schemas.microsoft.com/sharepoint/v3" xmlns:ns2="a431dfe5-8aa0-4f22-b20d-b06a7f021f05" xmlns:ns3="58f31e51-431e-43a4-871b-07ad4ce5a241" targetNamespace="http://schemas.microsoft.com/office/2006/metadata/properties" ma:root="true" ma:fieldsID="9667cf0b8f5df6dd935db39ff9dd9eaa" ns1:_="" ns2:_="" ns3:_="">
    <xsd:import namespace="http://schemas.microsoft.com/sharepoint/v3"/>
    <xsd:import namespace="a431dfe5-8aa0-4f22-b20d-b06a7f021f05"/>
    <xsd:import namespace="58f31e51-431e-43a4-871b-07ad4ce5a2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1dfe5-8aa0-4f22-b20d-b06a7f021f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d0cf9-6165-4a0b-a1ac-38776fa93c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f31e51-431e-43a4-871b-07ad4ce5a24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9f25ae2-73d8-43e7-86fb-4f4dd4dbabd2}" ma:internalName="TaxCatchAll" ma:showField="CatchAllData" ma:web="58f31e51-431e-43a4-871b-07ad4ce5a2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1D22B1-D3CD-4DC3-9925-33AEE0B5DDEB}">
  <ds:schemaRefs>
    <ds:schemaRef ds:uri="http://schemas.openxmlformats.org/officeDocument/2006/bibliography"/>
  </ds:schemaRefs>
</ds:datastoreItem>
</file>

<file path=customXml/itemProps2.xml><?xml version="1.0" encoding="utf-8"?>
<ds:datastoreItem xmlns:ds="http://schemas.openxmlformats.org/officeDocument/2006/customXml" ds:itemID="{44925AF2-2447-48E1-911B-CFBBE3585227}">
  <ds:schemaRefs>
    <ds:schemaRef ds:uri="http://schemas.microsoft.com/sharepoint/v3/contenttype/forms"/>
  </ds:schemaRefs>
</ds:datastoreItem>
</file>

<file path=customXml/itemProps3.xml><?xml version="1.0" encoding="utf-8"?>
<ds:datastoreItem xmlns:ds="http://schemas.openxmlformats.org/officeDocument/2006/customXml" ds:itemID="{20D41B49-E204-4A96-84A7-CEEB8C6F362E}">
  <ds:schemaRefs>
    <ds:schemaRef ds:uri="http://schemas.microsoft.com/office/2006/metadata/properties"/>
    <ds:schemaRef ds:uri="http://schemas.microsoft.com/office/infopath/2007/PartnerControls"/>
    <ds:schemaRef ds:uri="58f31e51-431e-43a4-871b-07ad4ce5a241"/>
    <ds:schemaRef ds:uri="http://schemas.microsoft.com/sharepoint/v3"/>
    <ds:schemaRef ds:uri="a431dfe5-8aa0-4f22-b20d-b06a7f021f05"/>
  </ds:schemaRefs>
</ds:datastoreItem>
</file>

<file path=customXml/itemProps4.xml><?xml version="1.0" encoding="utf-8"?>
<ds:datastoreItem xmlns:ds="http://schemas.openxmlformats.org/officeDocument/2006/customXml" ds:itemID="{A40A116C-9047-4F6A-A1F5-2DD93C5BE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31dfe5-8aa0-4f22-b20d-b06a7f021f05"/>
    <ds:schemaRef ds:uri="58f31e51-431e-43a4-871b-07ad4ce5a2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48</Pages>
  <Words>10323</Words>
  <Characters>58843</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Robertson</dc:creator>
  <cp:keywords/>
  <dc:description/>
  <cp:lastModifiedBy>Jordon Henderson</cp:lastModifiedBy>
  <cp:revision>133</cp:revision>
  <dcterms:created xsi:type="dcterms:W3CDTF">2026-04-01T10:26:00Z</dcterms:created>
  <dcterms:modified xsi:type="dcterms:W3CDTF">2026-04-21T16:15:00Z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0x010100B87362B76AA7DE45B63AE41510D3060A</vt:lpwstr>
  </property>
  <property fmtid="{D5CDD505-2E9C-101B-9397-08002B2CF9AE}" pid="3" name="MediaServiceImageTags">
    <vt:lpwstr/>
  </property>
</Properties>
</file>