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 Type="http://schemas.openxmlformats.org/officeDocument/2006/relationships/officeDocument" Target="document.xml"/><Relationship Id="rId1" Type="http://schemas.openxmlformats.org/officeDocument/2006/relationships/custom-properties" Target="docProps/custom.xml"/></Relationships>
</file>

<file path=_rels/document.xml.rels><?xml version="1.0" encoding="UTF-8" standalone="yes"?>
<Relationships xmlns="http://schemas.openxmlformats.org/package/2006/relationships"><Relationship Id="r241" Type="http://schemas.openxmlformats.org/officeDocument/2006/relationships/hyperlink" Target="https://www.westlaw.com/Link/Document/FullText?findType=Y&amp;serNum=2035687119&amp;pubNum=0000506&amp;originatingDoc=I2dae19d0521b11e98335c7ebe72735f9&amp;refType=RP&amp;fi=co_pp_sp_506_256&amp;originationContext=document&amp;vr=3.0&amp;rs=cblt1.0&amp;transitionType=DocumentItem&amp;contextData=(sc.Default)#co_pp_sp_506_256" TargetMode="External"/><Relationship Id="r283" Type="http://schemas.openxmlformats.org/officeDocument/2006/relationships/hyperlink" Target="https://www.westlaw.com/Link/Document/FullText?findType=Y&amp;serNum=2003090397&amp;pubNum=0000506&amp;originatingDoc=I2dae19d0521b11e98335c7ebe72735f9&amp;refType=RP&amp;fi=co_pp_sp_506_470&amp;originationContext=document&amp;vr=3.0&amp;rs=cblt1.0&amp;transitionType=DocumentItem&amp;contextData=(sc.Default)#co_pp_sp_506_470" TargetMode="External"/><Relationship Id="r101"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339" Type="http://schemas.openxmlformats.org/officeDocument/2006/relationships/hyperlink" Target="https://www.westlaw.com/Link/Document/FullText?findType=Y&amp;serNum=1980191938&amp;pubNum=0001043&amp;originatingDoc=I2dae19d0521b11e98335c7ebe72735f9&amp;refType=CA&amp;originationContext=document&amp;vr=3.0&amp;rs=cblt1.0&amp;transitionType=DocumentItem&amp;contextData=(sc.Default)" TargetMode="External"/><Relationship Id="r51"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143" Type="http://schemas.openxmlformats.org/officeDocument/2006/relationships/hyperlink" Target="https://www.westlaw.com/Link/Document/FullText?findType=Y&amp;serNum=2043652257&amp;pubNum=0000506&amp;originatingDoc=I2dae19d0521b11e98335c7ebe72735f9&amp;refType=RP&amp;fi=co_pp_sp_506_58&amp;originationContext=document&amp;vr=3.0&amp;rs=cblt1.0&amp;transitionType=DocumentItem&amp;contextData=(sc.Default)#co_pp_sp_506_58" TargetMode="External"/><Relationship Id="r185"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350"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93"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210" Type="http://schemas.openxmlformats.org/officeDocument/2006/relationships/hyperlink" Target="https://www.westlaw.com/Link/Document/FullText?findType=Y&amp;serNum=1997162925&amp;pubNum=0000506&amp;originatingDoc=I2dae19d0521b11e98335c7ebe72735f9&amp;refType=RP&amp;fi=co_pp_sp_506_1014&amp;originationContext=document&amp;vr=3.0&amp;rs=cblt1.0&amp;transitionType=DocumentItem&amp;contextData=(sc.Default)#co_pp_sp_506_1014" TargetMode="External"/><Relationship Id="r252"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8" Type="http://schemas.openxmlformats.org/officeDocument/2006/relationships/image" Target="images/2.png"/><Relationship Id="r112"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294"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10c0000001331" TargetMode="External"/><Relationship Id="r308" Type="http://schemas.openxmlformats.org/officeDocument/2006/relationships/hyperlink" Target="https://www.westlaw.com/Link/Document/FullText?findType=Y&amp;serNum=2038472084&amp;pubNum=0000506&amp;originatingDoc=I2dae19d0521b11e98335c7ebe72735f9&amp;refType=RP&amp;fi=co_pp_sp_506_19&amp;originationContext=document&amp;vr=3.0&amp;rs=cblt1.0&amp;transitionType=DocumentItem&amp;contextData=(sc.Default)#co_pp_sp_506_19" TargetMode="External"/><Relationship Id="r20"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62" Type="http://schemas.openxmlformats.org/officeDocument/2006/relationships/hyperlink" Target="https://www.westlaw.com/Link/Document/FullText?findType=L&amp;pubNum=1000547&amp;cite=34CFRS104.4&amp;originatingDoc=I2dae19d0521b11e98335c7ebe72735f9&amp;refType=LQ&amp;originationContext=document&amp;vr=3.0&amp;rs=cblt1.0&amp;transitionType=DocumentItem&amp;contextData=(sc.Default)" TargetMode="External"/><Relationship Id="r154" Type="http://schemas.openxmlformats.org/officeDocument/2006/relationships/hyperlink" Target="https://www.westlaw.com/Link/Document/FullText?findType=L&amp;pubNum=1000547&amp;cite=28CFRS41.51&amp;originatingDoc=I2dae19d0521b11e98335c7ebe72735f9&amp;refType=RB&amp;originationContext=document&amp;vr=3.0&amp;rs=cblt1.0&amp;transitionType=DocumentItem&amp;contextData=(sc.Default)#co_pp_04ad0000f01d0" TargetMode="External"/><Relationship Id="r196" Type="http://schemas.openxmlformats.org/officeDocument/2006/relationships/hyperlink" Target="https://www.westlaw.com/Link/Document/FullText?findType=Y&amp;serNum=2000044782&amp;pubNum=0000506&amp;originatingDoc=I2dae19d0521b11e98335c7ebe72735f9&amp;refType=RP&amp;originationContext=document&amp;vr=3.0&amp;rs=cblt1.0&amp;transitionType=DocumentItem&amp;contextData=(sc.Default)" TargetMode="External"/><Relationship Id="r221" Type="http://schemas.openxmlformats.org/officeDocument/2006/relationships/hyperlink" Target="https://www.westlaw.com/Link/Document/FullText?findType=Y&amp;serNum=2021885516&amp;pubNum=0000506&amp;originatingDoc=I2dae19d0521b11e98335c7ebe72735f9&amp;refType=RP&amp;fi=co_pp_sp_506_672&amp;originationContext=document&amp;vr=3.0&amp;rs=cblt1.0&amp;transitionType=DocumentItem&amp;contextData=(sc.Default)#co_pp_sp_506_672" TargetMode="External"/><Relationship Id="r263"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319" Type="http://schemas.openxmlformats.org/officeDocument/2006/relationships/hyperlink" Target="https://www.westlaw.com/Link/Document/FullText?findType=Y&amp;serNum=2038472084&amp;pubNum=0000506&amp;originatingDoc=I2dae19d0521b11e98335c7ebe72735f9&amp;refType=RP&amp;fi=co_pp_sp_506_21&amp;originationContext=document&amp;vr=3.0&amp;rs=cblt1.0&amp;transitionType=DocumentItem&amp;contextData=(sc.Default)#co_pp_sp_506_21" TargetMode="External"/><Relationship Id="r31" Type="http://schemas.openxmlformats.org/officeDocument/2006/relationships/hyperlink" Target="https://www.westlaw.com/Browse/Home/KeyNumber/170Ak1044/View.html?docGuid=I2dae19d0521b11e98335c7ebe72735f9&amp;originationContext=document&amp;vr=3.0&amp;rs=cblt1.0&amp;transitionType=DocumentItem&amp;contextData=(sc.Default)" TargetMode="External"/><Relationship Id="r123" Type="http://schemas.openxmlformats.org/officeDocument/2006/relationships/hyperlink" Target="https://www.westlaw.com/Link/Document/FullText?findType=L&amp;pubNum=1000546&amp;cite=42USCAS12182&amp;originatingDoc=I2dae19d0521b11e98335c7ebe72735f9&amp;refType=SP&amp;originationContext=document&amp;vr=3.0&amp;rs=cblt1.0&amp;transitionType=DocumentItem&amp;contextData=(sc.Default)#co_pp_8b3b0000958a4" TargetMode="External"/><Relationship Id="r165" Type="http://schemas.openxmlformats.org/officeDocument/2006/relationships/hyperlink" Target="https://www.westlaw.com/Link/Document/FullText?findType=L&amp;pubNum=1000546&amp;cite=42USCAS12182&amp;originatingDoc=I2dae19d0521b11e98335c7ebe72735f9&amp;refType=RB&amp;originationContext=document&amp;vr=3.0&amp;rs=cblt1.0&amp;transitionType=DocumentItem&amp;contextData=(sc.Default)#co_pp_8b3b0000958a4" TargetMode="External"/><Relationship Id="r330" Type="http://schemas.openxmlformats.org/officeDocument/2006/relationships/hyperlink" Target="https://www.westlaw.com/Link/Document/FullText?findType=Y&amp;serNum=2001260478&amp;pubNum=0000506&amp;originatingDoc=I2dae19d0521b11e98335c7ebe72735f9&amp;refType=RP&amp;fi=co_pp_sp_506_197&amp;originationContext=document&amp;vr=3.0&amp;rs=cblt1.0&amp;transitionType=DocumentItem&amp;contextData=(sc.Default)#co_pp_sp_506_197" TargetMode="External"/><Relationship Id="r73"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232"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274" Type="http://schemas.openxmlformats.org/officeDocument/2006/relationships/hyperlink" Target="https://www.westlaw.com/Link/Document/FullText?findType=Y&amp;serNum=2011514355&amp;pubNum=0000506&amp;originatingDoc=I2dae19d0521b11e98335c7ebe72735f9&amp;refType=RP&amp;fi=co_pp_sp_506_419&amp;originationContext=document&amp;vr=3.0&amp;rs=cblt1.0&amp;transitionType=DocumentItem&amp;contextData=(sc.Default)#co_pp_sp_506_419" TargetMode="External"/><Relationship Id="r42" Type="http://schemas.openxmlformats.org/officeDocument/2006/relationships/hyperlink" Target="https://www.westlaw.com/Browse/Home/KeyNumber/78k1043/View.html?docGuid=I2dae19d0521b11e98335c7ebe72735f9&amp;originationContext=document&amp;vr=3.0&amp;rs=cblt1.0&amp;transitionType=DocumentItem&amp;contextData=(sc.Default)" TargetMode="External"/><Relationship Id="r134" Type="http://schemas.openxmlformats.org/officeDocument/2006/relationships/hyperlink" Target="https://www.westlaw.com/Link/Document/FullText?findType=h&amp;pubNum=176284&amp;cite=0327971601&amp;originatingDoc=I2dae19d0521b11e98335c7ebe72735f9&amp;refType=RQ&amp;originationContext=document&amp;vr=3.0&amp;rs=cblt1.0&amp;transitionType=DocumentItem&amp;contextData=(sc.Default)" TargetMode="External"/><Relationship Id="r176" Type="http://schemas.openxmlformats.org/officeDocument/2006/relationships/hyperlink" Target="https://www.westlaw.com/Link/Document/FullText?findType=L&amp;pubNum=1000547&amp;cite=28CFRS36.303&amp;originatingDoc=I2dae19d0521b11e98335c7ebe72735f9&amp;refType=RB&amp;originationContext=document&amp;vr=3.0&amp;rs=cblt1.0&amp;transitionType=DocumentItem&amp;contextData=(sc.Default)#co_pp_a83b000018c76" TargetMode="External"/><Relationship Id="r341" Type="http://schemas.openxmlformats.org/officeDocument/2006/relationships/hyperlink" Target="https://www.westlaw.com/Link/Document/FullText?findType=L&amp;pubNum=1000547&amp;cite=28CFRS41.58&amp;originatingDoc=I2dae19d0521b11e98335c7ebe72735f9&amp;refType=LQ&amp;originationContext=document&amp;vr=3.0&amp;rs=cblt1.0&amp;transitionType=DocumentItem&amp;contextData=(sc.Default)" TargetMode="External"/><Relationship Id="r84"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201" Type="http://schemas.openxmlformats.org/officeDocument/2006/relationships/hyperlink" Target="https://www.westlaw.com/Link/Document/FullText?findType=Y&amp;serNum=1998112775&amp;pubNum=0000506&amp;originatingDoc=I2dae19d0521b11e98335c7ebe72735f9&amp;refType=RP&amp;fi=co_pp_sp_506_613&amp;originationContext=document&amp;vr=3.0&amp;rs=cblt1.0&amp;transitionType=DocumentItem&amp;contextData=(sc.Default)#co_pp_sp_506_613" TargetMode="External"/><Relationship Id="r243" Type="http://schemas.openxmlformats.org/officeDocument/2006/relationships/hyperlink" Target="https://www.westlaw.com/Link/Document/FullText?findType=Y&amp;serNum=2027997851&amp;pubNum=0000506&amp;originatingDoc=I2dae19d0521b11e98335c7ebe72735f9&amp;refType=RP&amp;fi=co_pp_sp_506_70&amp;originationContext=document&amp;vr=3.0&amp;rs=cblt1.0&amp;transitionType=DocumentItem&amp;contextData=(sc.Default)#co_pp_sp_506_70" TargetMode="External"/><Relationship Id="r285" Type="http://schemas.openxmlformats.org/officeDocument/2006/relationships/hyperlink" Target="https://www.westlaw.com/Link/Document/FullText?findType=Y&amp;serNum=2042641513&amp;pubNum=0006538&amp;originatingDoc=I2dae19d0521b11e98335c7ebe72735f9&amp;refType=RP&amp;originationContext=document&amp;vr=3.0&amp;rs=cblt1.0&amp;transitionType=DocumentItem&amp;contextData=(sc.Default)" TargetMode="External"/><Relationship Id="r11"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103"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145" Type="http://schemas.openxmlformats.org/officeDocument/2006/relationships/hyperlink" Target="https://www.westlaw.com/Link/Document/FullText?findType=Y&amp;serNum=1994069919&amp;pubNum=0000345&amp;originatingDoc=I2dae19d0521b11e98335c7ebe72735f9&amp;refType=RP&amp;fi=co_pp_sp_345_620&amp;originationContext=document&amp;vr=3.0&amp;rs=cblt1.0&amp;transitionType=DocumentItem&amp;contextData=(sc.Default)#co_pp_sp_345_620" TargetMode="External"/><Relationship Id="r310" Type="http://schemas.openxmlformats.org/officeDocument/2006/relationships/hyperlink" Target="https://www.westlaw.com/Link/Document/FullText?findType=Y&amp;serNum=2034327211&amp;pubNum=0000506&amp;originatingDoc=I2dae19d0521b11e98335c7ebe72735f9&amp;refType=RP&amp;fi=co_pp_sp_506_144&amp;originationContext=document&amp;vr=3.0&amp;rs=cblt1.0&amp;transitionType=DocumentItem&amp;contextData=(sc.Default)#co_pp_sp_506_144" TargetMode="External"/><Relationship Id="r352" Type="http://schemas.openxmlformats.org/officeDocument/2006/relationships/hyperlink" Target="https://www.westlaw.com/Link/Document/FullText?findType=Y&amp;serNum=2021885516&amp;pubNum=0000506&amp;originatingDoc=I2dae19d0521b11e98335c7ebe72735f9&amp;refType=RP&amp;fi=co_pp_sp_506_675&amp;originationContext=document&amp;vr=3.0&amp;rs=cblt1.0&amp;transitionType=DocumentItem&amp;contextData=(sc.Default)#co_pp_sp_506_675" TargetMode="External"/><Relationship Id="r53" Type="http://schemas.openxmlformats.org/officeDocument/2006/relationships/hyperlink" Target="https://www.westlaw.com/Link/Document/FullText?findType=L&amp;pubNum=1000546&amp;cite=29USCAS794&amp;originatingDoc=I2dae19d0521b11e98335c7ebe72735f9&amp;refType=LQ&amp;originationContext=document&amp;vr=3.0&amp;rs=cblt1.0&amp;transitionType=DocumentItem&amp;contextData=(sc.Default)" TargetMode="External"/><Relationship Id="r95" Type="http://schemas.openxmlformats.org/officeDocument/2006/relationships/hyperlink" Target="https://www.westlaw.com/Link/RelatedInformation/DocHeadnoteLink?docGuid=I2dae19d0521b11e98335c7ebe72735f9&amp;headnoteId=204788662702220230728214225&amp;originationContext=document&amp;vr=3.0&amp;rs=cblt1.0&amp;transitionType=CitingReferences&amp;contextData=(sc.Default)" TargetMode="External"/><Relationship Id="r187"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212" Type="http://schemas.openxmlformats.org/officeDocument/2006/relationships/hyperlink" Target="https://www.westlaw.com/Link/Document/FullText?findType=Y&amp;serNum=2000024129&amp;pubNum=0000506&amp;originatingDoc=I2dae19d0521b11e98335c7ebe72735f9&amp;refType=RP&amp;fi=co_pp_sp_506_1114&amp;originationContext=document&amp;vr=3.0&amp;rs=cblt1.0&amp;transitionType=DocumentItem&amp;contextData=(sc.Default)#co_pp_sp_506_1114" TargetMode="External"/><Relationship Id="r254"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296" Type="http://schemas.openxmlformats.org/officeDocument/2006/relationships/hyperlink" Target="https://www.westlaw.com/Link/Document/FullText?findType=Y&amp;serNum=2038472084&amp;pubNum=0000506&amp;originatingDoc=I2dae19d0521b11e98335c7ebe72735f9&amp;refType=RP&amp;fi=co_pp_sp_506_15&amp;originationContext=document&amp;vr=3.0&amp;rs=cblt1.0&amp;transitionType=DocumentItem&amp;contextData=(sc.Default)#co_pp_sp_506_15" TargetMode="External"/><Relationship Id="r114"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156" Type="http://schemas.openxmlformats.org/officeDocument/2006/relationships/hyperlink" Target="https://www.westlaw.com/Link/Document/FullText?findType=L&amp;pubNum=1000547&amp;cite=28CFRS41.51&amp;originatingDoc=I2dae19d0521b11e98335c7ebe72735f9&amp;refType=RB&amp;originationContext=document&amp;vr=3.0&amp;rs=cblt1.0&amp;transitionType=DocumentItem&amp;contextData=(sc.Default)#co_pp_7fdd00001ca15" TargetMode="External"/><Relationship Id="r321" Type="http://schemas.openxmlformats.org/officeDocument/2006/relationships/hyperlink" Target="https://www.westlaw.com/Link/Document/FullText?findType=Y&amp;serNum=2033578475&amp;pubNum=0000506&amp;originatingDoc=I2dae19d0521b11e98335c7ebe72735f9&amp;refType=RP&amp;fi=co_pp_sp_506_1357&amp;originationContext=document&amp;vr=3.0&amp;rs=cblt1.0&amp;transitionType=DocumentItem&amp;contextData=(sc.Default)#co_pp_sp_506_1357" TargetMode="External"/><Relationship Id="r22" Type="http://schemas.openxmlformats.org/officeDocument/2006/relationships/hyperlink" Target="https://www.westlaw.com/Browse/Home/KeyNumber/170AVII(L)/View.html?docGuid=I2dae19d0521b11e98335c7ebe72735f9&amp;originationContext=document&amp;vr=3.0&amp;rs=cblt1.0&amp;transitionType=DocumentItem&amp;contextData=(sc.Default)" TargetMode="External"/><Relationship Id="r64"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198" Type="http://schemas.openxmlformats.org/officeDocument/2006/relationships/hyperlink" Target="https://www.westlaw.com/Link/Document/FullText?findType=Y&amp;serNum=1994201767&amp;pubNum=0000506&amp;originatingDoc=I2dae19d0521b11e98335c7ebe72735f9&amp;refType=RP&amp;fi=co_pp_sp_506_19&amp;originationContext=document&amp;vr=3.0&amp;rs=cblt1.0&amp;transitionType=DocumentItem&amp;contextData=(sc.Default)#co_pp_sp_506_19" TargetMode="External"/><Relationship Id="r223" Type="http://schemas.openxmlformats.org/officeDocument/2006/relationships/hyperlink" Target="https://www.westlaw.com/Link/Document/FullText?findType=L&amp;pubNum=1000547&amp;cite=28CFRS36.303&amp;originatingDoc=I2dae19d0521b11e98335c7ebe72735f9&amp;refType=RB&amp;originationContext=document&amp;vr=3.0&amp;rs=cblt1.0&amp;transitionType=DocumentItem&amp;contextData=(sc.Default)#co_pp_8b3b0000958a4" TargetMode="External"/><Relationship Id="r265" Type="http://schemas.openxmlformats.org/officeDocument/2006/relationships/hyperlink" Target="https://www.westlaw.com/Link/Document/FullText?findType=Y&amp;serNum=2008733086&amp;pubNum=0004637&amp;originatingDoc=I2dae19d0521b11e98335c7ebe72735f9&amp;refType=RP&amp;fi=co_pp_sp_4637_1262&amp;originationContext=document&amp;vr=3.0&amp;rs=cblt1.0&amp;transitionType=DocumentItem&amp;contextData=(sc.Default)#co_pp_sp_4637_1262" TargetMode="External"/><Relationship Id="r125" Type="http://schemas.openxmlformats.org/officeDocument/2006/relationships/hyperlink" Target="https://www.westlaw.com/Link/RelatedInformation/DocHeadnoteLink?docGuid=I2dae19d0521b11e98335c7ebe72735f9&amp;headnoteId=204788662702920230728214225&amp;originationContext=document&amp;vr=3.0&amp;rs=cblt1.0&amp;transitionType=CitingReferences&amp;contextData=(sc.Default)" TargetMode="External"/><Relationship Id="r33" Type="http://schemas.openxmlformats.org/officeDocument/2006/relationships/hyperlink" Target="https://www.westlaw.com/Browse/Home/KeyNumber/170Ak1053/View.html?docGuid=I2dae19d0521b11e98335c7ebe72735f9&amp;originationContext=document&amp;vr=3.0&amp;rs=cblt1.0&amp;transitionType=DocumentItem&amp;contextData=(sc.Default)" TargetMode="External"/><Relationship Id="r75"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167" Type="http://schemas.openxmlformats.org/officeDocument/2006/relationships/hyperlink" Target="https://www.westlaw.com/Link/Document/FullText?findType=L&amp;pubNum=1000546&amp;cite=42USCAS12182&amp;originatingDoc=I2dae19d0521b11e98335c7ebe72735f9&amp;refType=RB&amp;originationContext=document&amp;vr=3.0&amp;rs=cblt1.0&amp;transitionType=DocumentItem&amp;contextData=(sc.Default)#co_pp_e0a1000077fc7" TargetMode="External"/><Relationship Id="r332"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f8fc0000f70d0" TargetMode="External"/><Relationship Id="r234" Type="http://schemas.openxmlformats.org/officeDocument/2006/relationships/hyperlink" Target="https://www.westlaw.com/Link/Document/FullText?findType=Y&amp;serNum=2027997851&amp;pubNum=0000506&amp;originatingDoc=I2dae19d0521b11e98335c7ebe72735f9&amp;refType=RP&amp;originationContext=document&amp;vr=3.0&amp;rs=cblt1.0&amp;transitionType=DocumentItem&amp;contextData=(sc.Default)" TargetMode="External"/><Relationship Id="r276" Type="http://schemas.openxmlformats.org/officeDocument/2006/relationships/hyperlink" Target="https://www.westlaw.com/Link/Document/FullText?findType=Y&amp;serNum=2003558766&amp;pubNum=0000506&amp;originatingDoc=I2dae19d0521b11e98335c7ebe72735f9&amp;refType=RP&amp;fi=co_pp_sp_506_1123&amp;originationContext=document&amp;vr=3.0&amp;rs=cblt1.0&amp;transitionType=DocumentItem&amp;contextData=(sc.Default)#co_pp_sp_506_1123" TargetMode="External"/><Relationship Id="r301"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ac4e0000281c0" TargetMode="External"/><Relationship Id="r1" Type="http://schemas.openxmlformats.org/officeDocument/2006/relationships/settings" Target="settings.xml"/><Relationship Id="r44" Type="http://schemas.openxmlformats.org/officeDocument/2006/relationships/hyperlink" Target="https://www.westlaw.com/Link/RelatedInformation/DocHeadnoteLink?docGuid=I2dae19d0521b11e98335c7ebe72735f9&amp;headnoteId=204788662700920230728214225&amp;originationContext=document&amp;vr=3.0&amp;rs=cblt1.0&amp;transitionType=CitingReferences&amp;contextData=(sc.Default)" TargetMode="External"/><Relationship Id="r86" Type="http://schemas.openxmlformats.org/officeDocument/2006/relationships/hyperlink" Target="https://www.westlaw.com/Link/Document/FullText?findType=L&amp;pubNum=1000546&amp;cite=29USCAS794&amp;originatingDoc=I2dae19d0521b11e98335c7ebe72735f9&amp;refType=LQ&amp;originationContext=document&amp;vr=3.0&amp;rs=cblt1.0&amp;transitionType=DocumentItem&amp;contextData=(sc.Default)" TargetMode="External"/><Relationship Id="r136" Type="http://schemas.openxmlformats.org/officeDocument/2006/relationships/hyperlink" Target="https://www.westlaw.com/Link/Document/FullText?findType=h&amp;pubNum=176284&amp;cite=0152807501&amp;originatingDoc=I2dae19d0521b11e98335c7ebe72735f9&amp;refType=RQ&amp;originationContext=document&amp;vr=3.0&amp;rs=cblt1.0&amp;transitionType=DocumentItem&amp;contextData=(sc.Default)" TargetMode="External"/><Relationship Id="r178"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343" Type="http://schemas.openxmlformats.org/officeDocument/2006/relationships/hyperlink" Target="https://www.westlaw.com/Link/Document/FullText?findType=L&amp;pubNum=1000547&amp;cite=34CFRS104.61&amp;originatingDoc=I2dae19d0521b11e98335c7ebe72735f9&amp;refType=LQ&amp;originationContext=document&amp;vr=3.0&amp;rs=cblt1.0&amp;transitionType=DocumentItem&amp;contextData=(sc.Default)" TargetMode="External"/><Relationship Id="r203" Type="http://schemas.openxmlformats.org/officeDocument/2006/relationships/hyperlink" Target="https://www.westlaw.com/Link/Document/FullText?findType=Y&amp;serNum=2042295297&amp;pubNum=0007903&amp;originatingDoc=I2dae19d0521b11e98335c7ebe72735f9&amp;refType=RP&amp;fi=co_pp_sp_7903_388&amp;originationContext=document&amp;vr=3.0&amp;rs=cblt1.0&amp;transitionType=DocumentItem&amp;contextData=(sc.Default)#co_pp_sp_7903_388" TargetMode="External"/><Relationship Id="r245" Type="http://schemas.openxmlformats.org/officeDocument/2006/relationships/hyperlink" Target="https://www.westlaw.com/Link/Document/FullText?findType=L&amp;pubNum=1000547&amp;cite=34CFRS104.4&amp;originatingDoc=I2dae19d0521b11e98335c7ebe72735f9&amp;refType=RB&amp;originationContext=document&amp;vr=3.0&amp;rs=cblt1.0&amp;transitionType=DocumentItem&amp;contextData=(sc.Default)#co_pp_04ad0000f01d0" TargetMode="External"/><Relationship Id="r105" Type="http://schemas.openxmlformats.org/officeDocument/2006/relationships/hyperlink" Target="https://www.westlaw.com/Browse/Home/KeyNumber/170H/View.html?docGuid=I2dae19d0521b11e98335c7ebe72735f9&amp;originationContext=document&amp;vr=3.0&amp;rs=cblt1.0&amp;transitionType=DocumentItem&amp;contextData=(sc.Default)" TargetMode="External"/><Relationship Id="r287" Type="http://schemas.openxmlformats.org/officeDocument/2006/relationships/hyperlink" Target="https://www.westlaw.com/Link/Document/FullText?findType=Y&amp;serNum=2042861161&amp;pubNum=0000506&amp;originatingDoc=I2dae19d0521b11e98335c7ebe72735f9&amp;refType=RP&amp;fi=co_pp_sp_506_318&amp;originationContext=document&amp;vr=3.0&amp;rs=cblt1.0&amp;transitionType=DocumentItem&amp;contextData=(sc.Default)#co_pp_sp_506_318" TargetMode="External"/><Relationship Id="r13" Type="http://schemas.openxmlformats.org/officeDocument/2006/relationships/image" Target="images/3.png"/><Relationship Id="r34"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55"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126" Type="http://schemas.openxmlformats.org/officeDocument/2006/relationships/hyperlink" Target="https://www.westlaw.com/Link/Document/FullText?findType=h&amp;pubNum=176284&amp;cite=0256344001&amp;originatingDoc=I2dae19d0521b11e98335c7ebe72735f9&amp;refType=RQ&amp;originationContext=document&amp;vr=3.0&amp;rs=cblt1.0&amp;transitionType=DocumentItem&amp;contextData=(sc.Default)" TargetMode="External"/><Relationship Id="r147" Type="http://schemas.openxmlformats.org/officeDocument/2006/relationships/hyperlink" Target="https://www.westlaw.com/Link/Document/FullText?findType=Y&amp;serNum=1993243428&amp;pubNum=0000345&amp;originatingDoc=I2dae19d0521b11e98335c7ebe72735f9&amp;refType=RP&amp;fi=co_pp_sp_345_672&amp;originationContext=document&amp;vr=3.0&amp;rs=cblt1.0&amp;transitionType=DocumentItem&amp;contextData=(sc.Default)#co_pp_sp_345_672" TargetMode="External"/><Relationship Id="r168" Type="http://schemas.openxmlformats.org/officeDocument/2006/relationships/hyperlink" Target="https://www.westlaw.com/Link/Document/FullText?findType=L&amp;pubNum=1000547&amp;cite=28CFRS36.202&amp;originatingDoc=I2dae19d0521b11e98335c7ebe72735f9&amp;refType=RB&amp;originationContext=document&amp;vr=3.0&amp;rs=cblt1.0&amp;transitionType=DocumentItem&amp;contextData=(sc.Default)#co_pp_8b3b0000958a4" TargetMode="External"/><Relationship Id="r189" Type="http://schemas.openxmlformats.org/officeDocument/2006/relationships/hyperlink" Target="https://www.westlaw.com/Link/Document/FullText?findType=L&amp;pubNum=1000546&amp;cite=42USCAS12181&amp;originatingDoc=I2dae19d0521b11e98335c7ebe72735f9&amp;refType=RB&amp;originationContext=document&amp;vr=3.0&amp;rs=cblt1.0&amp;transitionType=DocumentItem&amp;contextData=(sc.Default)#co_pp_794b00004e3d1" TargetMode="External"/><Relationship Id="r312"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333" Type="http://schemas.openxmlformats.org/officeDocument/2006/relationships/hyperlink" Target="https://www.westlaw.com/Link/Document/FullText?findType=Y&amp;serNum=2043830472&amp;pubNum=0007903&amp;originatingDoc=I2dae19d0521b11e98335c7ebe72735f9&amp;refType=RP&amp;fi=co_pp_sp_7903_587&amp;originationContext=document&amp;vr=3.0&amp;rs=cblt1.0&amp;transitionType=DocumentItem&amp;contextData=(sc.Default)#co_pp_sp_7903_587" TargetMode="External"/><Relationship Id="r354" Type="http://schemas.openxmlformats.org/officeDocument/2006/relationships/hyperlink" Target="https://www.westlaw.com/Link/Document/FullText?findType=Y&amp;serNum=2043830472&amp;pubNum=0007903&amp;originatingDoc=I2dae19d0521b11e98335c7ebe72735f9&amp;refType=RP&amp;fi=co_pp_sp_7903_587&amp;originationContext=document&amp;vr=3.0&amp;rs=cblt1.0&amp;transitionType=DocumentItem&amp;contextData=(sc.Default)#co_pp_sp_7903_587" TargetMode="External"/><Relationship Id="r76" Type="http://schemas.openxmlformats.org/officeDocument/2006/relationships/hyperlink" Target="https://www.westlaw.com/Link/RelatedInformation/DocHeadnoteLink?docGuid=I2dae19d0521b11e98335c7ebe72735f9&amp;headnoteId=204788662701720230728214225&amp;originationContext=document&amp;vr=3.0&amp;rs=cblt1.0&amp;transitionType=CitingReferences&amp;contextData=(sc.Default)" TargetMode="External"/><Relationship Id="r97" Type="http://schemas.openxmlformats.org/officeDocument/2006/relationships/hyperlink" Target="https://www.westlaw.com/Browse/Home/KeyNumber/361k1110/View.html?docGuid=I2dae19d0521b11e98335c7ebe72735f9&amp;originationContext=document&amp;vr=3.0&amp;rs=cblt1.0&amp;transitionType=DocumentItem&amp;contextData=(sc.Default)" TargetMode="External"/><Relationship Id="r214" Type="http://schemas.openxmlformats.org/officeDocument/2006/relationships/hyperlink" Target="https://www.westlaw.com/Link/Document/FullText?findType=Y&amp;serNum=2041854228&amp;pubNum=0007903&amp;originatingDoc=I2dae19d0521b11e98335c7ebe72735f9&amp;refType=RP&amp;fi=co_pp_sp_7903_1348&amp;originationContext=document&amp;vr=3.0&amp;rs=cblt1.0&amp;transitionType=DocumentItem&amp;contextData=(sc.Default)#co_pp_sp_7903_1348" TargetMode="External"/><Relationship Id="r235" Type="http://schemas.openxmlformats.org/officeDocument/2006/relationships/hyperlink" Target="https://www.westlaw.com/Link/Document/FullText?findType=Y&amp;serNum=2035687119&amp;pubNum=0000506&amp;originatingDoc=I2dae19d0521b11e98335c7ebe72735f9&amp;refType=RP&amp;originationContext=document&amp;vr=3.0&amp;rs=cblt1.0&amp;transitionType=DocumentItem&amp;contextData=(sc.Default)" TargetMode="External"/><Relationship Id="r256"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10c0000001331" TargetMode="External"/><Relationship Id="r277"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4b24000003ba5" TargetMode="External"/><Relationship Id="r298" Type="http://schemas.openxmlformats.org/officeDocument/2006/relationships/hyperlink" Target="https://www.westlaw.com/Link/Document/FullText?findType=L&amp;pubNum=1000546&amp;cite=18USCAS1595&amp;originatingDoc=I2dae19d0521b11e98335c7ebe72735f9&amp;refType=LQ&amp;originationContext=document&amp;vr=3.0&amp;rs=cblt1.0&amp;transitionType=DocumentItem&amp;contextData=(sc.Default)" TargetMode="External"/><Relationship Id="r2" Type="http://schemas.openxmlformats.org/officeDocument/2006/relationships/fontTable" Target="fonts.xml"/><Relationship Id="r24"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45"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116"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137" Type="http://schemas.openxmlformats.org/officeDocument/2006/relationships/hyperlink" Target="https://www.westlaw.com/Link/Document/FullText?findType=h&amp;pubNum=176284&amp;cite=0334917501&amp;originatingDoc=I2dae19d0521b11e98335c7ebe72735f9&amp;refType=RQ&amp;originationContext=document&amp;vr=3.0&amp;rs=cblt1.0&amp;transitionType=DocumentItem&amp;contextData=(sc.Default)" TargetMode="External"/><Relationship Id="r158" Type="http://schemas.openxmlformats.org/officeDocument/2006/relationships/hyperlink" Target="https://www.westlaw.com/Link/Document/FullText?findType=L&amp;pubNum=1000547&amp;cite=34CFRS104.3&amp;originatingDoc=I2dae19d0521b11e98335c7ebe72735f9&amp;refType=RB&amp;originationContext=document&amp;vr=3.0&amp;rs=cblt1.0&amp;transitionType=DocumentItem&amp;contextData=(sc.Default)#co_pp_fcf00000b5b35" TargetMode="External"/><Relationship Id="r179" Type="http://schemas.openxmlformats.org/officeDocument/2006/relationships/hyperlink" Target="https://www.westlaw.com/Link/Document/FullText?findType=Y&amp;serNum=2043652257&amp;pubNum=0000506&amp;originatingDoc=I2dae19d0521b11e98335c7ebe72735f9&amp;refType=RP&amp;fi=co_pp_sp_506_58&amp;originationContext=document&amp;vr=3.0&amp;rs=cblt1.0&amp;transitionType=DocumentItem&amp;contextData=(sc.Default)#co_pp_sp_506_58" TargetMode="External"/><Relationship Id="r302" Type="http://schemas.openxmlformats.org/officeDocument/2006/relationships/hyperlink" Target="https://www.westlaw.com/Link/Document/FullText?findType=Y&amp;serNum=2030568662&amp;pubNum=0000780&amp;originatingDoc=I2dae19d0521b11e98335c7ebe72735f9&amp;refType=RP&amp;fi=co_pp_sp_780_381&amp;originationContext=document&amp;vr=3.0&amp;rs=cblt1.0&amp;transitionType=DocumentItem&amp;contextData=(sc.Default)#co_pp_sp_780_381" TargetMode="External"/><Relationship Id="r323" Type="http://schemas.openxmlformats.org/officeDocument/2006/relationships/hyperlink" Target="https://www.westlaw.com/Link/Document/FullText?findType=Y&amp;serNum=2024574654&amp;pubNum=0000506&amp;originatingDoc=I2dae19d0521b11e98335c7ebe72735f9&amp;refType=RP&amp;fi=co_pp_sp_506_600&amp;originationContext=document&amp;vr=3.0&amp;rs=cblt1.0&amp;transitionType=DocumentItem&amp;contextData=(sc.Default)#co_pp_sp_506_600" TargetMode="External"/><Relationship Id="r344" Type="http://schemas.openxmlformats.org/officeDocument/2006/relationships/hyperlink" Target="https://www.westlaw.com/Link/Document/FullText?findType=L&amp;pubNum=1000547&amp;cite=28CFRS41.4&amp;originatingDoc=I2dae19d0521b11e98335c7ebe72735f9&amp;refType=RB&amp;originationContext=document&amp;vr=3.0&amp;rs=cblt1.0&amp;transitionType=DocumentItem&amp;contextData=(sc.Default)#co_pp_8b3b0000958a4" TargetMode="External"/><Relationship Id="r66"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87" Type="http://schemas.openxmlformats.org/officeDocument/2006/relationships/hyperlink" Target="https://www.westlaw.com/Link/Document/FullText?findType=L&amp;pubNum=1000546&amp;cite=42USCAS12182&amp;originatingDoc=I2dae19d0521b11e98335c7ebe72735f9&amp;refType=SP&amp;originationContext=document&amp;vr=3.0&amp;rs=cblt1.0&amp;transitionType=DocumentItem&amp;contextData=(sc.Default)#co_pp_8b3b0000958a4" TargetMode="External"/><Relationship Id="r190" Type="http://schemas.openxmlformats.org/officeDocument/2006/relationships/hyperlink" Target="https://www.westlaw.com/Link/Document/FullText?findType=L&amp;pubNum=1000546&amp;cite=42USCAS12182&amp;originatingDoc=I2dae19d0521b11e98335c7ebe72735f9&amp;refType=RB&amp;originationContext=document&amp;vr=3.0&amp;rs=cblt1.0&amp;transitionType=DocumentItem&amp;contextData=(sc.Default)#co_pp_8b3b0000958a4" TargetMode="External"/><Relationship Id="r204" Type="http://schemas.openxmlformats.org/officeDocument/2006/relationships/hyperlink" Target="https://www.westlaw.com/Link/Document/FullText?findType=L&amp;pubNum=1000546&amp;cite=42USCAS12181&amp;originatingDoc=I2dae19d0521b11e98335c7ebe72735f9&amp;refType=RB&amp;originationContext=document&amp;vr=3.0&amp;rs=cblt1.0&amp;transitionType=DocumentItem&amp;contextData=(sc.Default)#co_pp_794b00004e3d1" TargetMode="External"/><Relationship Id="r225" Type="http://schemas.openxmlformats.org/officeDocument/2006/relationships/hyperlink" Target="https://www.westlaw.com/Link/Document/FullText?findType=L&amp;pubNum=1000547&amp;cite=28CFRS36.303&amp;originatingDoc=I2dae19d0521b11e98335c7ebe72735f9&amp;refType=RB&amp;originationContext=document&amp;vr=3.0&amp;rs=cblt1.0&amp;transitionType=DocumentItem&amp;contextData=(sc.Default)#co_pp_8b3b0000958a4" TargetMode="External"/><Relationship Id="r246"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267" Type="http://schemas.openxmlformats.org/officeDocument/2006/relationships/hyperlink" Target="https://www.westlaw.com/Link/Document/FullText?findType=Y&amp;serNum=2038472084&amp;pubNum=0000506&amp;originatingDoc=I2dae19d0521b11e98335c7ebe72735f9&amp;refType=RP&amp;fi=co_pp_sp_506_18&amp;originationContext=document&amp;vr=3.0&amp;rs=cblt1.0&amp;transitionType=DocumentItem&amp;contextData=(sc.Default)#co_pp_sp_506_18" TargetMode="External"/><Relationship Id="r288" Type="http://schemas.openxmlformats.org/officeDocument/2006/relationships/hyperlink" Target="https://www.westlaw.com/Link/Document/FullText?findType=Y&amp;serNum=2011514355&amp;pubNum=0000506&amp;originatingDoc=I2dae19d0521b11e98335c7ebe72735f9&amp;refType=RP&amp;fi=co_pp_sp_506_418&amp;originationContext=document&amp;vr=3.0&amp;rs=cblt1.0&amp;transitionType=DocumentItem&amp;contextData=(sc.Default)#co_pp_sp_506_418" TargetMode="External"/><Relationship Id="r14"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35"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106" Type="http://schemas.openxmlformats.org/officeDocument/2006/relationships/hyperlink" Target="https://www.westlaw.com/Browse/Home/KeyNumber/170Hk94/View.html?docGuid=I2dae19d0521b11e98335c7ebe72735f9&amp;originationContext=document&amp;vr=3.0&amp;rs=cblt1.0&amp;transitionType=DocumentItem&amp;contextData=(sc.Default)" TargetMode="External"/><Relationship Id="r127" Type="http://schemas.openxmlformats.org/officeDocument/2006/relationships/hyperlink" Target="https://www.westlaw.com/Link/Document/FullText?findType=h&amp;pubNum=176284&amp;cite=0176009101&amp;originatingDoc=I2dae19d0521b11e98335c7ebe72735f9&amp;refType=RQ&amp;originationContext=document&amp;vr=3.0&amp;rs=cblt1.0&amp;transitionType=DocumentItem&amp;contextData=(sc.Default)" TargetMode="External"/><Relationship Id="r148" Type="http://schemas.openxmlformats.org/officeDocument/2006/relationships/hyperlink" Target="https://www.westlaw.com/Link/Document/FullText?findType=Y&amp;serNum=1994191305&amp;pubNum=0000506&amp;originatingDoc=I2dae19d0521b11e98335c7ebe72735f9&amp;refType=RP&amp;originationContext=document&amp;vr=3.0&amp;rs=cblt1.0&amp;transitionType=DocumentItem&amp;contextData=(sc.Default)" TargetMode="External"/><Relationship Id="r169" Type="http://schemas.openxmlformats.org/officeDocument/2006/relationships/hyperlink" Target="https://www.westlaw.com/Link/Document/FullText?findType=L&amp;pubNum=1000547&amp;cite=28CFRS36.202&amp;originatingDoc=I2dae19d0521b11e98335c7ebe72735f9&amp;refType=RE&amp;originationContext=document&amp;vr=3.0&amp;rs=cblt1.0&amp;transitionType=DocumentItem&amp;contextData=(sc.Default)#co_pp_a83b000018c76" TargetMode="External"/><Relationship Id="r313" Type="http://schemas.openxmlformats.org/officeDocument/2006/relationships/hyperlink" Target="https://www.westlaw.com/Link/Document/FullText?findType=Y&amp;serNum=2038472084&amp;pubNum=0000506&amp;originatingDoc=I2dae19d0521b11e98335c7ebe72735f9&amp;refType=RP&amp;fi=co_pp_sp_506_18&amp;originationContext=document&amp;vr=3.0&amp;rs=cblt1.0&amp;transitionType=DocumentItem&amp;contextData=(sc.Default)#co_pp_sp_506_18" TargetMode="External"/><Relationship Id="r334"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f8fc0000f70d0" TargetMode="External"/><Relationship Id="r56" Type="http://schemas.openxmlformats.org/officeDocument/2006/relationships/hyperlink" Target="https://www.westlaw.com/Browse/Home/KeyNumber/78k1049.5(2)/View.html?docGuid=I2dae19d0521b11e98335c7ebe72735f9&amp;originationContext=document&amp;vr=3.0&amp;rs=cblt1.0&amp;transitionType=DocumentItem&amp;contextData=(sc.Default)" TargetMode="External"/><Relationship Id="r77"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98" Type="http://schemas.openxmlformats.org/officeDocument/2006/relationships/hyperlink" Target="https://www.westlaw.com/Browse/Home/KeyNumber/361/View.html?docGuid=I2dae19d0521b11e98335c7ebe72735f9&amp;originationContext=document&amp;vr=3.0&amp;rs=cblt1.0&amp;transitionType=DocumentItem&amp;contextData=(sc.Default)" TargetMode="External"/><Relationship Id="r180"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215" Type="http://schemas.openxmlformats.org/officeDocument/2006/relationships/hyperlink" Target="https://www.westlaw.com/Link/Document/FullText?findType=Y&amp;serNum=1994201767&amp;pubNum=0000506&amp;originatingDoc=I2dae19d0521b11e98335c7ebe72735f9&amp;refType=RP&amp;fi=co_pp_sp_506_20&amp;originationContext=document&amp;vr=3.0&amp;rs=cblt1.0&amp;transitionType=DocumentItem&amp;contextData=(sc.Default)#co_pp_sp_506_20" TargetMode="External"/><Relationship Id="r236" Type="http://schemas.openxmlformats.org/officeDocument/2006/relationships/hyperlink" Target="https://www.westlaw.com/Link/Document/FullText?findType=Y&amp;serNum=2040196233&amp;pubNum=0000708&amp;originatingDoc=I2dae19d0521b11e98335c7ebe72735f9&amp;refType=RP&amp;originationContext=document&amp;vr=3.0&amp;rs=cblt1.0&amp;transitionType=DocumentItem&amp;contextData=(sc.Default)" TargetMode="External"/><Relationship Id="r257" Type="http://schemas.openxmlformats.org/officeDocument/2006/relationships/hyperlink" Target="https://www.westlaw.com/Link/Document/FullText?findType=Y&amp;serNum=2038472084&amp;pubNum=0000506&amp;originatingDoc=I2dae19d0521b11e98335c7ebe72735f9&amp;refType=RP&amp;fi=co_pp_sp_506_18&amp;originationContext=document&amp;vr=3.0&amp;rs=cblt1.0&amp;transitionType=DocumentItem&amp;contextData=(sc.Default)#co_pp_sp_506_18" TargetMode="External"/><Relationship Id="r278" Type="http://schemas.openxmlformats.org/officeDocument/2006/relationships/hyperlink" Target="https://www.westlaw.com/Link/Document/FullText?findType=Y&amp;serNum=2038472084&amp;pubNum=0000506&amp;originatingDoc=I2dae19d0521b11e98335c7ebe72735f9&amp;refType=RP&amp;fi=co_pp_sp_506_19&amp;originationContext=document&amp;vr=3.0&amp;rs=cblt1.0&amp;transitionType=DocumentItem&amp;contextData=(sc.Default)#co_pp_sp_506_19" TargetMode="External"/><Relationship Id="r299" Type="http://schemas.openxmlformats.org/officeDocument/2006/relationships/hyperlink" Target="https://www.westlaw.com/Link/Document/FullText?findType=Y&amp;serNum=2038472084&amp;pubNum=0000506&amp;originatingDoc=I2dae19d0521b11e98335c7ebe72735f9&amp;refType=RP&amp;fi=co_pp_sp_506_15&amp;originationContext=document&amp;vr=3.0&amp;rs=cblt1.0&amp;transitionType=DocumentItem&amp;contextData=(sc.Default)#co_pp_sp_506_15" TargetMode="External"/><Relationship Id="r117"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138" Type="http://schemas.openxmlformats.org/officeDocument/2006/relationships/hyperlink" Target="https://www.westlaw.com/Link/Document/FullText?findType=h&amp;pubNum=176284&amp;cite=0495866099&amp;originatingDoc=I2dae19d0521b11e98335c7ebe72735f9&amp;refType=RQ&amp;originationContext=document&amp;vr=3.0&amp;rs=cblt1.0&amp;transitionType=DocumentItem&amp;contextData=(sc.Default)" TargetMode="External"/><Relationship Id="r159" Type="http://schemas.openxmlformats.org/officeDocument/2006/relationships/hyperlink" Target="https://www.westlaw.com/Link/Document/FullText?findType=L&amp;pubNum=1000546&amp;cite=42USCAS12111&amp;originatingDoc=I2dae19d0521b11e98335c7ebe72735f9&amp;refType=LQ&amp;originationContext=document&amp;vr=3.0&amp;rs=cblt1.0&amp;transitionType=DocumentItem&amp;contextData=(sc.Default)" TargetMode="External"/><Relationship Id="r303" Type="http://schemas.openxmlformats.org/officeDocument/2006/relationships/hyperlink" Target="https://www.westlaw.com/Link/Document/FullText?findType=Y&amp;serNum=2000362633&amp;pubNum=0000780&amp;originatingDoc=I2dae19d0521b11e98335c7ebe72735f9&amp;refType=RP&amp;fi=co_pp_sp_780_6&amp;originationContext=document&amp;vr=3.0&amp;rs=cblt1.0&amp;transitionType=DocumentItem&amp;contextData=(sc.Default)#co_pp_sp_780_6" TargetMode="External"/><Relationship Id="r324"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345" Type="http://schemas.openxmlformats.org/officeDocument/2006/relationships/hyperlink" Target="https://www.westlaw.com/Link/Document/FullText?findType=Y&amp;serNum=2002379916&amp;pubNum=0000506&amp;originatingDoc=I2dae19d0521b11e98335c7ebe72735f9&amp;refType=RP&amp;fi=co_pp_sp_506_1283&amp;originationContext=document&amp;vr=3.0&amp;rs=cblt1.0&amp;transitionType=DocumentItem&amp;contextData=(sc.Default)#co_pp_sp_506_1283" TargetMode="External"/><Relationship Id="r3" Type="http://schemas.openxmlformats.org/officeDocument/2006/relationships/numbering" Target="numbering.xml"/><Relationship Id="r25" Type="http://schemas.openxmlformats.org/officeDocument/2006/relationships/hyperlink" Target="https://www.westlaw.com/Browse/Home/KeyNumber/170Ak1053/View.html?docGuid=I2dae19d0521b11e98335c7ebe72735f9&amp;originationContext=document&amp;vr=3.0&amp;rs=cblt1.0&amp;transitionType=DocumentItem&amp;contextData=(sc.Default)" TargetMode="External"/><Relationship Id="r46" Type="http://schemas.openxmlformats.org/officeDocument/2006/relationships/hyperlink" Target="https://www.westlaw.com/Browse/Home/KeyNumber/78k1049.5(2)/View.html?docGuid=I2dae19d0521b11e98335c7ebe72735f9&amp;originationContext=document&amp;vr=3.0&amp;rs=cblt1.0&amp;transitionType=DocumentItem&amp;contextData=(sc.Default)" TargetMode="External"/><Relationship Id="r67"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88"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170" Type="http://schemas.openxmlformats.org/officeDocument/2006/relationships/hyperlink" Target="https://www.westlaw.com/Link/Document/FullText?findType=L&amp;pubNum=1000546&amp;cite=42USCAS12101&amp;originatingDoc=I2dae19d0521b11e98335c7ebe72735f9&amp;refType=RB&amp;originationContext=document&amp;vr=3.0&amp;rs=cblt1.0&amp;transitionType=DocumentItem&amp;contextData=(sc.Default)#co_pp_488b0000d05e2" TargetMode="External"/><Relationship Id="r191" Type="http://schemas.openxmlformats.org/officeDocument/2006/relationships/hyperlink" Target="https://www.westlaw.com/Link/Document/FullText?findType=Y&amp;serNum=1994201767&amp;pubNum=0000506&amp;originatingDoc=I2dae19d0521b11e98335c7ebe72735f9&amp;refType=RP&amp;originationContext=document&amp;vr=3.0&amp;rs=cblt1.0&amp;transitionType=DocumentItem&amp;contextData=(sc.Default)" TargetMode="External"/><Relationship Id="r205" Type="http://schemas.openxmlformats.org/officeDocument/2006/relationships/hyperlink" Target="https://www.westlaw.com/Link/Document/FullText?findType=L&amp;pubNum=1000546&amp;cite=42USCAS12181&amp;originatingDoc=I2dae19d0521b11e98335c7ebe72735f9&amp;refType=RB&amp;originationContext=document&amp;vr=3.0&amp;rs=cblt1.0&amp;transitionType=DocumentItem&amp;contextData=(sc.Default)#co_pp_47dc0000019b4" TargetMode="External"/><Relationship Id="r226" Type="http://schemas.openxmlformats.org/officeDocument/2006/relationships/hyperlink" Target="https://www.westlaw.com/Link/Document/FullText?findType=Y&amp;serNum=2021490123&amp;pubNum=0000780&amp;originatingDoc=I2dae19d0521b11e98335c7ebe72735f9&amp;refType=RP&amp;fi=co_pp_sp_780_207&amp;originationContext=document&amp;vr=3.0&amp;rs=cblt1.0&amp;transitionType=DocumentItem&amp;contextData=(sc.Default)#co_pp_sp_780_207" TargetMode="External"/><Relationship Id="r247" Type="http://schemas.openxmlformats.org/officeDocument/2006/relationships/hyperlink" Target="https://www.westlaw.com/Link/Document/FullText?findType=L&amp;pubNum=1000547&amp;cite=28CFRS36.202&amp;originatingDoc=I2dae19d0521b11e98335c7ebe72735f9&amp;refType=RB&amp;originationContext=document&amp;vr=3.0&amp;rs=cblt1.0&amp;transitionType=DocumentItem&amp;contextData=(sc.Default)#co_pp_a83b000018c76" TargetMode="External"/><Relationship Id="r268" Type="http://schemas.openxmlformats.org/officeDocument/2006/relationships/hyperlink" Target="https://www.westlaw.com/Link/Document/FullText?findType=Y&amp;serNum=1997225178&amp;pubNum=0000506&amp;originatingDoc=I2dae19d0521b11e98335c7ebe72735f9&amp;refType=RP&amp;fi=co_pp_sp_506_330&amp;originationContext=document&amp;vr=3.0&amp;rs=cblt1.0&amp;transitionType=DocumentItem&amp;contextData=(sc.Default)#co_pp_sp_506_330" TargetMode="External"/><Relationship Id="r289" Type="http://schemas.openxmlformats.org/officeDocument/2006/relationships/hyperlink" Target="https://www.westlaw.com/Link/Document/FullText?findType=Y&amp;serNum=2011514355&amp;pubNum=0000506&amp;originatingDoc=I2dae19d0521b11e98335c7ebe72735f9&amp;refType=RP&amp;fi=co_pp_sp_506_422&amp;originationContext=document&amp;vr=3.0&amp;rs=cblt1.0&amp;transitionType=DocumentItem&amp;contextData=(sc.Default)#co_pp_sp_506_422" TargetMode="External"/><Relationship Id="r107"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128" Type="http://schemas.openxmlformats.org/officeDocument/2006/relationships/hyperlink" Target="https://www.westlaw.com/Link/Document/FullText?findType=h&amp;pubNum=176284&amp;cite=0334321801&amp;originatingDoc=I2dae19d0521b11e98335c7ebe72735f9&amp;refType=RQ&amp;originationContext=document&amp;vr=3.0&amp;rs=cblt1.0&amp;transitionType=DocumentItem&amp;contextData=(sc.Default)" TargetMode="External"/><Relationship Id="r149" Type="http://schemas.openxmlformats.org/officeDocument/2006/relationships/hyperlink" Target="https://www.westlaw.com/Link/Document/FullText?findType=Y&amp;serNum=1999146002&amp;pubNum=0000780&amp;originatingDoc=I2dae19d0521b11e98335c7ebe72735f9&amp;refType=RP&amp;fi=co_pp_sp_780_589&amp;originationContext=document&amp;vr=3.0&amp;rs=cblt1.0&amp;transitionType=DocumentItem&amp;contextData=(sc.Default)#co_pp_sp_780_589" TargetMode="External"/><Relationship Id="r314" Type="http://schemas.openxmlformats.org/officeDocument/2006/relationships/hyperlink" Target="https://www.westlaw.com/Link/Document/FullText?findType=Y&amp;serNum=1997225178&amp;pubNum=0000506&amp;originatingDoc=I2dae19d0521b11e98335c7ebe72735f9&amp;refType=RP&amp;fi=co_pp_sp_506_330&amp;originationContext=document&amp;vr=3.0&amp;rs=cblt1.0&amp;transitionType=DocumentItem&amp;contextData=(sc.Default)#co_pp_sp_506_330" TargetMode="External"/><Relationship Id="r335" Type="http://schemas.openxmlformats.org/officeDocument/2006/relationships/hyperlink" Target="https://www.westlaw.com/Link/Document/FullText?findType=Y&amp;serNum=2042861161&amp;pubNum=0000506&amp;originatingDoc=I2dae19d0521b11e98335c7ebe72735f9&amp;refType=RP&amp;fi=co_pp_sp_506_322&amp;originationContext=document&amp;vr=3.0&amp;rs=cblt1.0&amp;transitionType=DocumentItem&amp;contextData=(sc.Default)#co_pp_sp_506_322" TargetMode="External"/><Relationship Id="r15" Type="http://schemas.openxmlformats.org/officeDocument/2006/relationships/hyperlink" Target="https://www.westlaw.com/Browse/Home/KeyNumber/78k1016/View.html?docGuid=I2dae19d0521b11e98335c7ebe72735f9&amp;originationContext=document&amp;vr=3.0&amp;rs=cblt1.0&amp;transitionType=DocumentItem&amp;contextData=(sc.Default)" TargetMode="External"/><Relationship Id="r36" Type="http://schemas.openxmlformats.org/officeDocument/2006/relationships/hyperlink" Target="https://www.westlaw.com/Browse/Home/KeyNumber/78k1049.5(2)/View.html?docGuid=I2dae19d0521b11e98335c7ebe72735f9&amp;originationContext=document&amp;vr=3.0&amp;rs=cblt1.0&amp;transitionType=DocumentItem&amp;contextData=(sc.Default)" TargetMode="External"/><Relationship Id="r57"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78"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99" Type="http://schemas.openxmlformats.org/officeDocument/2006/relationships/hyperlink" Target="https://www.westlaw.com/Browse/Home/KeyNumber/361k1405/View.html?docGuid=I2dae19d0521b11e98335c7ebe72735f9&amp;originationContext=document&amp;vr=3.0&amp;rs=cblt1.0&amp;transitionType=DocumentItem&amp;contextData=(sc.Default)" TargetMode="External"/><Relationship Id="r160" Type="http://schemas.openxmlformats.org/officeDocument/2006/relationships/hyperlink" Target="https://www.westlaw.com/Link/Document/FullText?findType=L&amp;pubNum=1000546&amp;cite=42USCAS12117&amp;originatingDoc=I2dae19d0521b11e98335c7ebe72735f9&amp;refType=LQ&amp;originationContext=document&amp;vr=3.0&amp;rs=cblt1.0&amp;transitionType=DocumentItem&amp;contextData=(sc.Default)" TargetMode="External"/><Relationship Id="r181" Type="http://schemas.openxmlformats.org/officeDocument/2006/relationships/hyperlink" Target="https://www.westlaw.com/Link/Document/FullText?findType=Y&amp;serNum=2008914781&amp;pubNum=0000506&amp;originatingDoc=I2dae19d0521b11e98335c7ebe72735f9&amp;refType=RP&amp;fi=co_pp_sp_506_54&amp;originationContext=document&amp;vr=3.0&amp;rs=cblt1.0&amp;transitionType=DocumentItem&amp;contextData=(sc.Default)#co_pp_sp_506_54" TargetMode="External"/><Relationship Id="r216" Type="http://schemas.openxmlformats.org/officeDocument/2006/relationships/hyperlink" Target="https://www.westlaw.com/Link/Document/FullText?findType=Y&amp;serNum=1997162925&amp;pubNum=0000506&amp;originatingDoc=I2dae19d0521b11e98335c7ebe72735f9&amp;refType=RP&amp;fi=co_pp_sp_506_1014&amp;originationContext=document&amp;vr=3.0&amp;rs=cblt1.0&amp;transitionType=DocumentItem&amp;contextData=(sc.Default)#co_pp_sp_506_1014" TargetMode="External"/><Relationship Id="r237" Type="http://schemas.openxmlformats.org/officeDocument/2006/relationships/hyperlink" Target="https://www.westlaw.com/Link/Document/FullText?findType=Y&amp;serNum=2027997851&amp;pubNum=0000506&amp;originatingDoc=I2dae19d0521b11e98335c7ebe72735f9&amp;refType=RP&amp;fi=co_pp_sp_506_69&amp;originationContext=document&amp;vr=3.0&amp;rs=cblt1.0&amp;transitionType=DocumentItem&amp;contextData=(sc.Default)#co_pp_sp_506_69" TargetMode="External"/><Relationship Id="r258" Type="http://schemas.openxmlformats.org/officeDocument/2006/relationships/hyperlink" Target="https://www.westlaw.com/Link/Document/FullText?findType=Y&amp;serNum=1997225178&amp;pubNum=0000506&amp;originatingDoc=I2dae19d0521b11e98335c7ebe72735f9&amp;refType=RP&amp;fi=co_pp_sp_506_330&amp;originationContext=document&amp;vr=3.0&amp;rs=cblt1.0&amp;transitionType=DocumentItem&amp;contextData=(sc.Default)#co_pp_sp_506_330" TargetMode="External"/><Relationship Id="r279" Type="http://schemas.openxmlformats.org/officeDocument/2006/relationships/hyperlink" Target="https://www.westlaw.com/Link/Document/FullText?findType=Y&amp;serNum=2019174045&amp;pubNum=0000506&amp;originatingDoc=I2dae19d0521b11e98335c7ebe72735f9&amp;refType=RP&amp;fi=co_pp_sp_506_1101&amp;originationContext=document&amp;vr=3.0&amp;rs=cblt1.0&amp;transitionType=DocumentItem&amp;contextData=(sc.Default)#co_pp_sp_506_1101" TargetMode="External"/><Relationship Id="r118" Type="http://schemas.openxmlformats.org/officeDocument/2006/relationships/hyperlink" Target="https://www.westlaw.com/Browse/Home/KeyNumber/170Ak677/View.html?docGuid=I2dae19d0521b11e98335c7ebe72735f9&amp;originationContext=document&amp;vr=3.0&amp;rs=cblt1.0&amp;transitionType=DocumentItem&amp;contextData=(sc.Default)" TargetMode="External"/><Relationship Id="r290"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7fdd00001ca15" TargetMode="External"/><Relationship Id="r304"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4" Type="http://schemas.openxmlformats.org/officeDocument/2006/relationships/footnotes" Target="footnotes.xml"/><Relationship Id="r26"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47"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68"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89" Type="http://schemas.openxmlformats.org/officeDocument/2006/relationships/hyperlink" Target="https://www.westlaw.com/Link/RelatedInformation/DocHeadnoteLink?docGuid=I2dae19d0521b11e98335c7ebe72735f9&amp;headnoteId=204788662702120230728214225&amp;originationContext=document&amp;vr=3.0&amp;rs=cblt1.0&amp;transitionType=CitingReferences&amp;contextData=(sc.Default)" TargetMode="External"/><Relationship Id="r139" Type="http://schemas.openxmlformats.org/officeDocument/2006/relationships/hyperlink" Target="https://www.westlaw.com/Link/Document/FullText?findType=h&amp;pubNum=176284&amp;cite=0202657499&amp;originatingDoc=I2dae19d0521b11e98335c7ebe72735f9&amp;refType=RQ&amp;originationContext=document&amp;vr=3.0&amp;rs=cblt1.0&amp;transitionType=DocumentItem&amp;contextData=(sc.Default)" TargetMode="External"/><Relationship Id="r325" Type="http://schemas.openxmlformats.org/officeDocument/2006/relationships/hyperlink" Target="https://www.westlaw.com/Link/Document/FullText?findType=Y&amp;serNum=2017205814&amp;pubNum=0000506&amp;originatingDoc=I2dae19d0521b11e98335c7ebe72735f9&amp;refType=RP&amp;fi=co_pp_sp_506_324&amp;originationContext=document&amp;vr=3.0&amp;rs=cblt1.0&amp;transitionType=DocumentItem&amp;contextData=(sc.Default)#co_pp_sp_506_324" TargetMode="External"/><Relationship Id="r346" Type="http://schemas.openxmlformats.org/officeDocument/2006/relationships/hyperlink" Target="https://www.westlaw.com/Link/Document/FullText?findType=Y&amp;serNum=2041854228&amp;pubNum=0007903&amp;originatingDoc=I2dae19d0521b11e98335c7ebe72735f9&amp;refType=RP&amp;fi=co_pp_sp_7903_1348&amp;originationContext=document&amp;vr=3.0&amp;rs=cblt1.0&amp;transitionType=DocumentItem&amp;contextData=(sc.Default)#co_pp_sp_7903_1348" TargetMode="External"/><Relationship Id="r150" Type="http://schemas.openxmlformats.org/officeDocument/2006/relationships/hyperlink" Target="https://www.westlaw.com/Link/Document/FullText?findType=L&amp;pubNum=1000546&amp;cite=42USCAS12101&amp;originatingDoc=I2dae19d0521b11e98335c7ebe72735f9&amp;refType=RB&amp;originationContext=document&amp;vr=3.0&amp;rs=cblt1.0&amp;transitionType=DocumentItem&amp;contextData=(sc.Default)#co_pp_3fed000053a85" TargetMode="External"/><Relationship Id="r171" Type="http://schemas.openxmlformats.org/officeDocument/2006/relationships/hyperlink" Target="https://www.westlaw.com/Link/Document/FullText?findType=L&amp;pubNum=1000547&amp;cite=28CFRS36.303&amp;originatingDoc=I2dae19d0521b11e98335c7ebe72735f9&amp;refType=LQ&amp;originationContext=document&amp;vr=3.0&amp;rs=cblt1.0&amp;transitionType=DocumentItem&amp;contextData=(sc.Default)" TargetMode="External"/><Relationship Id="r192" Type="http://schemas.openxmlformats.org/officeDocument/2006/relationships/hyperlink" Target="https://www.westlaw.com/Link/Document/FullText?findType=Y&amp;serNum=1994201767&amp;pubNum=0000506&amp;originatingDoc=I2dae19d0521b11e98335c7ebe72735f9&amp;refType=RP&amp;fi=co_pp_sp_506_14&amp;originationContext=document&amp;vr=3.0&amp;rs=cblt1.0&amp;transitionType=DocumentItem&amp;contextData=(sc.Default)#co_pp_sp_506_14" TargetMode="External"/><Relationship Id="r206" Type="http://schemas.openxmlformats.org/officeDocument/2006/relationships/hyperlink" Target="https://www.westlaw.com/Link/Document/FullText?findType=Y&amp;serNum=1994201767&amp;pubNum=0000506&amp;originatingDoc=I2dae19d0521b11e98335c7ebe72735f9&amp;refType=RP&amp;fi=co_pp_sp_506_19&amp;originationContext=document&amp;vr=3.0&amp;rs=cblt1.0&amp;transitionType=DocumentItem&amp;contextData=(sc.Default)#co_pp_sp_506_19" TargetMode="External"/><Relationship Id="r227"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248" Type="http://schemas.openxmlformats.org/officeDocument/2006/relationships/hyperlink" Target="https://www.westlaw.com/Link/Document/FullText?findType=L&amp;pubNum=1000547&amp;cite=34CFRS104.4&amp;originatingDoc=I2dae19d0521b11e98335c7ebe72735f9&amp;refType=RB&amp;originationContext=document&amp;vr=3.0&amp;rs=cblt1.0&amp;transitionType=DocumentItem&amp;contextData=(sc.Default)#co_pp_3fed000053a85" TargetMode="External"/><Relationship Id="r269"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28cc0000ccca6" TargetMode="External"/><Relationship Id="rId1" Type="http://schemas.openxmlformats.org/officeDocument/2006/relationships/customXml" Target="customXml/item1.xml"/><Relationship Id="r108" Type="http://schemas.openxmlformats.org/officeDocument/2006/relationships/hyperlink" Target="https://www.westlaw.com/Browse/Home/KeyNumber/372k1508/View.html?docGuid=I2dae19d0521b11e98335c7ebe72735f9&amp;originationContext=document&amp;vr=3.0&amp;rs=cblt1.0&amp;transitionType=DocumentItem&amp;contextData=(sc.Default)" TargetMode="External"/><Relationship Id="r16" Type="http://schemas.openxmlformats.org/officeDocument/2006/relationships/hyperlink" Target="https://www.westlaw.com/Link/Document/FullText?findType=L&amp;pubNum=1000546&amp;cite=29USCAS701&amp;originatingDoc=I2dae19d0521b11e98335c7ebe72735f9&amp;refType=LQ&amp;originationContext=document&amp;vr=3.0&amp;rs=cblt1.0&amp;transitionType=DocumentItem&amp;contextData=(sc.Default)" TargetMode="External"/><Relationship Id="r37"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58" Type="http://schemas.openxmlformats.org/officeDocument/2006/relationships/hyperlink" Target="https://www.westlaw.com/Browse/Home/KeyNumber/78k1069/View.html?docGuid=I2dae19d0521b11e98335c7ebe72735f9&amp;originationContext=document&amp;vr=3.0&amp;rs=cblt1.0&amp;transitionType=DocumentItem&amp;contextData=(sc.Default)" TargetMode="External"/><Relationship Id="r79" Type="http://schemas.openxmlformats.org/officeDocument/2006/relationships/hyperlink" Target="https://www.westlaw.com/Link/Document/FullText?findType=L&amp;pubNum=1000546&amp;cite=47USCAS230&amp;originatingDoc=I2dae19d0521b11e98335c7ebe72735f9&amp;refType=SP&amp;originationContext=document&amp;vr=3.0&amp;rs=cblt1.0&amp;transitionType=DocumentItem&amp;contextData=(sc.Default)#co_pp_f8fc0000f70d0" TargetMode="External"/><Relationship Id="r129" Type="http://schemas.openxmlformats.org/officeDocument/2006/relationships/hyperlink" Target="https://www.westlaw.com/Link/Document/FullText?findType=h&amp;pubNum=176284&amp;cite=0171998301&amp;originatingDoc=I2dae19d0521b11e98335c7ebe72735f9&amp;refType=RQ&amp;originationContext=document&amp;vr=3.0&amp;rs=cblt1.0&amp;transitionType=DocumentItem&amp;contextData=(sc.Default)" TargetMode="External"/><Relationship Id="r280"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10c0000001331" TargetMode="External"/><Relationship Id="r315" Type="http://schemas.openxmlformats.org/officeDocument/2006/relationships/hyperlink" Target="https://www.westlaw.com/Link/Document/FullText?findType=Y&amp;serNum=2015486884&amp;pubNum=0000506&amp;originatingDoc=I2dae19d0521b11e98335c7ebe72735f9&amp;refType=RP&amp;fi=co_pp_sp_506_669&amp;originationContext=document&amp;vr=3.0&amp;rs=cblt1.0&amp;transitionType=DocumentItem&amp;contextData=(sc.Default)#co_pp_sp_506_669" TargetMode="External"/><Relationship Id="r336" Type="http://schemas.openxmlformats.org/officeDocument/2006/relationships/hyperlink" Target="https://www.westlaw.com/Link/Document/FullText?findType=Y&amp;serNum=2038472084&amp;pubNum=0000506&amp;originatingDoc=I2dae19d0521b11e98335c7ebe72735f9&amp;refType=RP&amp;fi=co_pp_sp_506_20&amp;originationContext=document&amp;vr=3.0&amp;rs=cblt1.0&amp;transitionType=DocumentItem&amp;contextData=(sc.Default)#co_pp_sp_506_20" TargetMode="External"/><Relationship Id="r140" Type="http://schemas.openxmlformats.org/officeDocument/2006/relationships/hyperlink" Target="https://www.westlaw.com/Link/Document/FullText?findType=L&amp;pubNum=1000546&amp;cite=29USCAS794&amp;originatingDoc=I2dae19d0521b11e98335c7ebe72735f9&amp;refType=LQ&amp;originationContext=document&amp;vr=3.0&amp;rs=cblt1.0&amp;transitionType=DocumentItem&amp;contextData=(sc.Default)" TargetMode="External"/><Relationship Id="r161" Type="http://schemas.openxmlformats.org/officeDocument/2006/relationships/hyperlink" Target="https://www.westlaw.com/Link/Document/FullText?findType=L&amp;pubNum=1000546&amp;cite=42USCAS12131&amp;originatingDoc=I2dae19d0521b11e98335c7ebe72735f9&amp;refType=LQ&amp;originationContext=document&amp;vr=3.0&amp;rs=cblt1.0&amp;transitionType=DocumentItem&amp;contextData=(sc.Default)" TargetMode="External"/><Relationship Id="r182" Type="http://schemas.openxmlformats.org/officeDocument/2006/relationships/hyperlink" Target="https://www.westlaw.com/Link/Document/FullText?findType=Y&amp;serNum=2008969145&amp;pubNum=0000506&amp;originatingDoc=I2dae19d0521b11e98335c7ebe72735f9&amp;refType=RP&amp;fi=co_pp_sp_506_182&amp;originationContext=document&amp;vr=3.0&amp;rs=cblt1.0&amp;transitionType=DocumentItem&amp;contextData=(sc.Default)#co_pp_sp_506_182" TargetMode="External"/><Relationship Id="r217" Type="http://schemas.openxmlformats.org/officeDocument/2006/relationships/hyperlink" Target="https://www.westlaw.com/Link/Document/FullText?findType=Y&amp;serNum=2041854228&amp;pubNum=0007903&amp;originatingDoc=I2dae19d0521b11e98335c7ebe72735f9&amp;refType=RP&amp;fi=co_pp_sp_7903_1349&amp;originationContext=document&amp;vr=3.0&amp;rs=cblt1.0&amp;transitionType=DocumentItem&amp;contextData=(sc.Default)#co_pp_sp_7903_1349" TargetMode="External"/><Relationship Id="r238" Type="http://schemas.openxmlformats.org/officeDocument/2006/relationships/hyperlink" Target="https://www.westlaw.com/Link/Document/FullText?findType=Y&amp;serNum=2035687119&amp;pubNum=0000506&amp;originatingDoc=I2dae19d0521b11e98335c7ebe72735f9&amp;refType=RP&amp;fi=co_pp_sp_506_256&amp;originationContext=document&amp;vr=3.0&amp;rs=cblt1.0&amp;transitionType=DocumentItem&amp;contextData=(sc.Default)#co_pp_sp_506_256" TargetMode="External"/><Relationship Id="r259"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ac4e0000281c0" TargetMode="External"/><Relationship Id="r90"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5" Type="http://schemas.openxmlformats.org/officeDocument/2006/relationships/header" Target="header1.xml"/><Relationship Id="r27"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48" Type="http://schemas.openxmlformats.org/officeDocument/2006/relationships/hyperlink" Target="https://www.westlaw.com/Browse/Home/KeyNumber/78k1069/View.html?docGuid=I2dae19d0521b11e98335c7ebe72735f9&amp;originationContext=document&amp;vr=3.0&amp;rs=cblt1.0&amp;transitionType=DocumentItem&amp;contextData=(sc.Default)" TargetMode="External"/><Relationship Id="r119" Type="http://schemas.openxmlformats.org/officeDocument/2006/relationships/hyperlink" Target="https://www.westlaw.com/Link/RelatedInformation/DocHeadnoteLink?docGuid=I2dae19d0521b11e98335c7ebe72735f9&amp;headnoteId=204788662702820230728214225&amp;originationContext=document&amp;vr=3.0&amp;rs=cblt1.0&amp;transitionType=CitingReferences&amp;contextData=(sc.Default)" TargetMode="External"/><Relationship Id="r270" Type="http://schemas.openxmlformats.org/officeDocument/2006/relationships/hyperlink" Target="https://www.westlaw.com/Link/Document/FullText?findType=Y&amp;serNum=1997225178&amp;pubNum=0000506&amp;originatingDoc=I2dae19d0521b11e98335c7ebe72735f9&amp;refType=RP&amp;fi=co_pp_sp_506_330&amp;originationContext=document&amp;vr=3.0&amp;rs=cblt1.0&amp;transitionType=DocumentItem&amp;contextData=(sc.Default)#co_pp_sp_506_330" TargetMode="External"/><Relationship Id="r291"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305" Type="http://schemas.openxmlformats.org/officeDocument/2006/relationships/hyperlink" Target="https://www.westlaw.com/Link/Document/FullText?findType=Y&amp;serNum=2011514355&amp;pubNum=0000506&amp;originatingDoc=I2dae19d0521b11e98335c7ebe72735f9&amp;refType=RP&amp;fi=co_pp_sp_506_419&amp;originationContext=document&amp;vr=3.0&amp;rs=cblt1.0&amp;transitionType=DocumentItem&amp;contextData=(sc.Default)#co_pp_sp_506_419" TargetMode="External"/><Relationship Id="r326" Type="http://schemas.openxmlformats.org/officeDocument/2006/relationships/hyperlink" Target="https://www.westlaw.com/Link/Document/FullText?findType=Y&amp;serNum=2010604269&amp;pubNum=0000506&amp;originatingDoc=I2dae19d0521b11e98335c7ebe72735f9&amp;refType=RP&amp;fi=co_pp_sp_506_150&amp;originationContext=document&amp;vr=3.0&amp;rs=cblt1.0&amp;transitionType=DocumentItem&amp;contextData=(sc.Default)#co_pp_sp_506_150" TargetMode="External"/><Relationship Id="r347"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69" Type="http://schemas.openxmlformats.org/officeDocument/2006/relationships/hyperlink" Target="https://www.westlaw.com/Link/RelatedInformation/DocHeadnoteLink?docGuid=I2dae19d0521b11e98335c7ebe72735f9&amp;headnoteId=204788662701520230728214225&amp;originationContext=document&amp;vr=3.0&amp;rs=cblt1.0&amp;transitionType=CitingReferences&amp;contextData=(sc.Default)" TargetMode="External"/><Relationship Id="r130" Type="http://schemas.openxmlformats.org/officeDocument/2006/relationships/hyperlink" Target="https://www.westlaw.com/Link/Document/FullText?findType=h&amp;pubNum=176284&amp;cite=0197345701&amp;originatingDoc=I2dae19d0521b11e98335c7ebe72735f9&amp;refType=RQ&amp;originationContext=document&amp;vr=3.0&amp;rs=cblt1.0&amp;transitionType=DocumentItem&amp;contextData=(sc.Default)" TargetMode="External"/><Relationship Id="r151" Type="http://schemas.openxmlformats.org/officeDocument/2006/relationships/hyperlink" Target="https://www.westlaw.com/Link/Document/FullText?findType=L&amp;pubNum=1000546&amp;cite=29USCAS794&amp;originatingDoc=I2dae19d0521b11e98335c7ebe72735f9&amp;refType=RB&amp;originationContext=document&amp;vr=3.0&amp;rs=cblt1.0&amp;transitionType=DocumentItem&amp;contextData=(sc.Default)#co_pp_8b3b0000958a4" TargetMode="External"/><Relationship Id="r172" Type="http://schemas.openxmlformats.org/officeDocument/2006/relationships/hyperlink" Target="https://www.westlaw.com/Link/Document/FullText?findType=L&amp;pubNum=1000546&amp;cite=42USCAS12182&amp;originatingDoc=I2dae19d0521b11e98335c7ebe72735f9&amp;refType=RB&amp;originationContext=document&amp;vr=3.0&amp;rs=cblt1.0&amp;transitionType=DocumentItem&amp;contextData=(sc.Default)#co_pp_803c00004e281" TargetMode="External"/><Relationship Id="r193" Type="http://schemas.openxmlformats.org/officeDocument/2006/relationships/hyperlink" Target="https://www.westlaw.com/Link/Document/FullText?findType=Y&amp;serNum=1994201767&amp;pubNum=0000506&amp;originatingDoc=I2dae19d0521b11e98335c7ebe72735f9&amp;refType=RP&amp;fi=co_pp_sp_506_18&amp;originationContext=document&amp;vr=3.0&amp;rs=cblt1.0&amp;transitionType=DocumentItem&amp;contextData=(sc.Default)#co_pp_sp_506_18" TargetMode="External"/><Relationship Id="r207" Type="http://schemas.openxmlformats.org/officeDocument/2006/relationships/hyperlink" Target="https://www.westlaw.com/Link/Document/FullText?findType=Y&amp;serNum=1999263786&amp;pubNum=0000506&amp;originatingDoc=I2dae19d0521b11e98335c7ebe72735f9&amp;refType=RP&amp;fi=co_pp_sp_506_32&amp;originationContext=document&amp;vr=3.0&amp;rs=cblt1.0&amp;transitionType=DocumentItem&amp;contextData=(sc.Default)#co_pp_sp_506_32" TargetMode="External"/><Relationship Id="r228" Type="http://schemas.openxmlformats.org/officeDocument/2006/relationships/hyperlink" Target="https://www.westlaw.com/Link/Document/FullText?findType=L&amp;pubNum=1000546&amp;cite=42USCAS12182&amp;originatingDoc=I2dae19d0521b11e98335c7ebe72735f9&amp;refType=RB&amp;originationContext=document&amp;vr=3.0&amp;rs=cblt1.0&amp;transitionType=DocumentItem&amp;contextData=(sc.Default)#co_pp_803c00004e281" TargetMode="External"/><Relationship Id="r80" Type="http://schemas.openxmlformats.org/officeDocument/2006/relationships/hyperlink" Target="https://www.westlaw.com/Link/RelatedInformation/DocHeadnoteLink?docGuid=I2dae19d0521b11e98335c7ebe72735f9&amp;headnoteId=204788662701820230728214225&amp;originationContext=document&amp;vr=3.0&amp;rs=cblt1.0&amp;transitionType=CitingReferences&amp;contextData=(sc.Default)" TargetMode="External"/><Relationship Id="r249" Type="http://schemas.openxmlformats.org/officeDocument/2006/relationships/hyperlink" Target="https://www.westlaw.com/Link/Document/FullText?findType=L&amp;pubNum=1000547&amp;cite=34CFRS104.4&amp;originatingDoc=I2dae19d0521b11e98335c7ebe72735f9&amp;refType=RB&amp;originationContext=document&amp;vr=3.0&amp;rs=cblt1.0&amp;transitionType=DocumentItem&amp;contextData=(sc.Default)#co_pp_8b3b0000958a4" TargetMode="External"/><Relationship Id="rId2" Type="http://schemas.openxmlformats.org/officeDocument/2006/relationships/customXml" Target="customXml/item2.xml"/><Relationship Id="r17" Type="http://schemas.openxmlformats.org/officeDocument/2006/relationships/hyperlink" Target="https://www.westlaw.com/Link/Document/FullText?findType=L&amp;pubNum=1000546&amp;cite=42USCAS12101&amp;originatingDoc=I2dae19d0521b11e98335c7ebe72735f9&amp;refType=LQ&amp;originationContext=document&amp;vr=3.0&amp;rs=cblt1.0&amp;transitionType=DocumentItem&amp;contextData=(sc.Default)" TargetMode="External"/><Relationship Id="r38" Type="http://schemas.openxmlformats.org/officeDocument/2006/relationships/hyperlink" Target="https://www.westlaw.com/Browse/Home/KeyNumber/78k1069/View.html?docGuid=I2dae19d0521b11e98335c7ebe72735f9&amp;originationContext=document&amp;vr=3.0&amp;rs=cblt1.0&amp;transitionType=DocumentItem&amp;contextData=(sc.Default)" TargetMode="External"/><Relationship Id="r109"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260" Type="http://schemas.openxmlformats.org/officeDocument/2006/relationships/hyperlink" Target="https://www.westlaw.com/Link/Document/FullText?findType=Y&amp;serNum=2042861161&amp;pubNum=0000506&amp;originatingDoc=I2dae19d0521b11e98335c7ebe72735f9&amp;refType=RP&amp;fi=co_pp_sp_506_318&amp;originationContext=document&amp;vr=3.0&amp;rs=cblt1.0&amp;transitionType=DocumentItem&amp;contextData=(sc.Default)#co_pp_sp_506_318" TargetMode="External"/><Relationship Id="r281" Type="http://schemas.openxmlformats.org/officeDocument/2006/relationships/hyperlink" Target="https://www.westlaw.com/Link/Document/FullText?findType=Y&amp;serNum=2015486884&amp;pubNum=0000506&amp;originatingDoc=I2dae19d0521b11e98335c7ebe72735f9&amp;refType=RP&amp;fi=co_pp_sp_506_671&amp;originationContext=document&amp;vr=3.0&amp;rs=cblt1.0&amp;transitionType=DocumentItem&amp;contextData=(sc.Default)#co_pp_sp_506_671" TargetMode="External"/><Relationship Id="r316"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337" Type="http://schemas.openxmlformats.org/officeDocument/2006/relationships/hyperlink" Target="https://www.westlaw.com/Link/Document/FullText?findType=Y&amp;serNum=2038472084&amp;pubNum=0000506&amp;originatingDoc=I2dae19d0521b11e98335c7ebe72735f9&amp;refType=RP&amp;fi=co_pp_sp_506_20&amp;originationContext=document&amp;vr=3.0&amp;rs=cblt1.0&amp;transitionType=DocumentItem&amp;contextData=(sc.Default)#co_pp_sp_506_20" TargetMode="External"/><Relationship Id="r59" Type="http://schemas.openxmlformats.org/officeDocument/2006/relationships/hyperlink" Target="https://www.westlaw.com/Link/Document/FullText?findType=L&amp;pubNum=1000546&amp;cite=29USCAS794&amp;originatingDoc=I2dae19d0521b11e98335c7ebe72735f9&amp;refType=LQ&amp;originationContext=document&amp;vr=3.0&amp;rs=cblt1.0&amp;transitionType=DocumentItem&amp;contextData=(sc.Default)" TargetMode="External"/><Relationship Id="r120"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141" Type="http://schemas.openxmlformats.org/officeDocument/2006/relationships/hyperlink" Target="https://www.westlaw.com/Link/Document/FullText?findType=L&amp;pubNum=1000546&amp;cite=28USCAS636&amp;originatingDoc=I2dae19d0521b11e98335c7ebe72735f9&amp;refType=RB&amp;originationContext=document&amp;vr=3.0&amp;rs=cblt1.0&amp;transitionType=DocumentItem&amp;contextData=(sc.Default)#co_pp_4b24000003ba5" TargetMode="External"/><Relationship Id="r162" Type="http://schemas.openxmlformats.org/officeDocument/2006/relationships/hyperlink" Target="https://www.westlaw.com/Link/Document/FullText?findType=L&amp;pubNum=1000546&amp;cite=42USCAS12165&amp;originatingDoc=I2dae19d0521b11e98335c7ebe72735f9&amp;refType=LQ&amp;originationContext=document&amp;vr=3.0&amp;rs=cblt1.0&amp;transitionType=DocumentItem&amp;contextData=(sc.Default)" TargetMode="External"/><Relationship Id="r183" Type="http://schemas.openxmlformats.org/officeDocument/2006/relationships/hyperlink" Target="https://www.westlaw.com/Link/Document/FullText?findType=Y&amp;serNum=2043652257&amp;pubNum=0000506&amp;originatingDoc=I2dae19d0521b11e98335c7ebe72735f9&amp;refType=RP&amp;fi=co_pp_sp_506_58&amp;originationContext=document&amp;vr=3.0&amp;rs=cblt1.0&amp;transitionType=DocumentItem&amp;contextData=(sc.Default)#co_pp_sp_506_58" TargetMode="External"/><Relationship Id="r218" Type="http://schemas.openxmlformats.org/officeDocument/2006/relationships/hyperlink" Target="https://www.westlaw.com/Link/Document/FullText?findType=Y&amp;serNum=2021885516&amp;pubNum=0000506&amp;originatingDoc=I2dae19d0521b11e98335c7ebe72735f9&amp;refType=RP&amp;originationContext=document&amp;vr=3.0&amp;rs=cblt1.0&amp;transitionType=DocumentItem&amp;contextData=(sc.Default)" TargetMode="External"/><Relationship Id="r70"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91" Type="http://schemas.openxmlformats.org/officeDocument/2006/relationships/hyperlink" Target="https://www.westlaw.com/Browse/Home/KeyNumber/78k1029/View.html?docGuid=I2dae19d0521b11e98335c7ebe72735f9&amp;originationContext=document&amp;vr=3.0&amp;rs=cblt1.0&amp;transitionType=DocumentItem&amp;contextData=(sc.Default)" TargetMode="External"/><Relationship Id="r239" Type="http://schemas.openxmlformats.org/officeDocument/2006/relationships/hyperlink" Target="https://www.westlaw.com/Link/Document/FullText?findType=Y&amp;serNum=2035687119&amp;pubNum=0000506&amp;originatingDoc=I2dae19d0521b11e98335c7ebe72735f9&amp;refType=RP&amp;fi=co_pp_sp_506_256&amp;originationContext=document&amp;vr=3.0&amp;rs=cblt1.0&amp;transitionType=DocumentItem&amp;contextData=(sc.Default)#co_pp_sp_506_256" TargetMode="External"/><Relationship Id="r28" Type="http://schemas.openxmlformats.org/officeDocument/2006/relationships/hyperlink" Target="https://www.westlaw.com/Browse/Home/KeyNumber/170Ak1044/View.html?docGuid=I2dae19d0521b11e98335c7ebe72735f9&amp;originationContext=document&amp;vr=3.0&amp;rs=cblt1.0&amp;transitionType=DocumentItem&amp;contextData=(sc.Default)" TargetMode="External"/><Relationship Id="r250" Type="http://schemas.openxmlformats.org/officeDocument/2006/relationships/hyperlink" Target="https://www.westlaw.com/Link/Document/FullText?findType=L&amp;pubNum=1000547&amp;cite=28CFRS36.202&amp;originatingDoc=I2dae19d0521b11e98335c7ebe72735f9&amp;refType=RB&amp;originationContext=document&amp;vr=3.0&amp;rs=cblt1.0&amp;transitionType=DocumentItem&amp;contextData=(sc.Default)#co_pp_8b3b0000958a4" TargetMode="External"/><Relationship Id="r271"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292"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306" Type="http://schemas.openxmlformats.org/officeDocument/2006/relationships/hyperlink" Target="https://www.westlaw.com/Link/Document/FullText?findType=Y&amp;serNum=2044189718&amp;pubNum=0000999&amp;originatingDoc=I2dae19d0521b11e98335c7ebe72735f9&amp;refType=RP&amp;originationContext=document&amp;vr=3.0&amp;rs=cblt1.0&amp;transitionType=DocumentItem&amp;contextData=(sc.Default)" TargetMode="External"/><Relationship Id="r327" Type="http://schemas.openxmlformats.org/officeDocument/2006/relationships/hyperlink" Target="https://www.westlaw.com/Link/Document/FullText?findType=Y&amp;serNum=2031978485&amp;pubNum=0004637&amp;originatingDoc=I2dae19d0521b11e98335c7ebe72735f9&amp;refType=RP&amp;fi=co_pp_sp_4637_169&amp;originationContext=document&amp;vr=3.0&amp;rs=cblt1.0&amp;transitionType=DocumentItem&amp;contextData=(sc.Default)#co_pp_sp_4637_169" TargetMode="External"/><Relationship Id="r348" Type="http://schemas.openxmlformats.org/officeDocument/2006/relationships/hyperlink" Target="https://www.westlaw.com/Link/Document/FullText?findType=Y&amp;serNum=2038472084&amp;pubNum=0000506&amp;originatingDoc=I2dae19d0521b11e98335c7ebe72735f9&amp;refType=RP&amp;fi=co_pp_sp_506_19&amp;originationContext=document&amp;vr=3.0&amp;rs=cblt1.0&amp;transitionType=DocumentItem&amp;contextData=(sc.Default)#co_pp_sp_506_19" TargetMode="External"/><Relationship Id="r6" Type="http://schemas.openxmlformats.org/officeDocument/2006/relationships/footer" Target="footer1.xml"/><Relationship Id="r49" Type="http://schemas.openxmlformats.org/officeDocument/2006/relationships/hyperlink" Target="https://www.westlaw.com/Link/Document/FullText?findType=L&amp;pubNum=1000546&amp;cite=29USCAS794&amp;originatingDoc=I2dae19d0521b11e98335c7ebe72735f9&amp;refType=LQ&amp;originationContext=document&amp;vr=3.0&amp;rs=cblt1.0&amp;transitionType=DocumentItem&amp;contextData=(sc.Default)" TargetMode="External"/><Relationship Id="r110"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131" Type="http://schemas.openxmlformats.org/officeDocument/2006/relationships/hyperlink" Target="https://www.westlaw.com/Link/Document/FullText?findType=h&amp;pubNum=176284&amp;cite=0130768101&amp;originatingDoc=I2dae19d0521b11e98335c7ebe72735f9&amp;refType=RQ&amp;originationContext=document&amp;vr=3.0&amp;rs=cblt1.0&amp;transitionType=DocumentItem&amp;contextData=(sc.Default)" TargetMode="External"/><Relationship Id="r152" Type="http://schemas.openxmlformats.org/officeDocument/2006/relationships/hyperlink" Target="https://www.westlaw.com/Link/Document/FullText?findType=L&amp;pubNum=1000546&amp;cite=29USCAS794&amp;originatingDoc=I2dae19d0521b11e98335c7ebe72735f9&amp;refType=RB&amp;originationContext=document&amp;vr=3.0&amp;rs=cblt1.0&amp;transitionType=DocumentItem&amp;contextData=(sc.Default)#co_pp_1eca000045f07" TargetMode="External"/><Relationship Id="r173" Type="http://schemas.openxmlformats.org/officeDocument/2006/relationships/hyperlink" Target="https://www.westlaw.com/Link/Document/FullText?findType=L&amp;pubNum=1000547&amp;cite=28CFRS36.303&amp;originatingDoc=I2dae19d0521b11e98335c7ebe72735f9&amp;refType=RB&amp;originationContext=document&amp;vr=3.0&amp;rs=cblt1.0&amp;transitionType=DocumentItem&amp;contextData=(sc.Default)#co_pp_8b3b0000958a4" TargetMode="External"/><Relationship Id="r208" Type="http://schemas.openxmlformats.org/officeDocument/2006/relationships/hyperlink" Target="https://www.westlaw.com/Link/Document/FullText?findType=Y&amp;serNum=1999133340&amp;pubNum=0000506&amp;originatingDoc=I2dae19d0521b11e98335c7ebe72735f9&amp;refType=RP&amp;fi=co_pp_sp_506_558&amp;originationContext=document&amp;vr=3.0&amp;rs=cblt1.0&amp;transitionType=DocumentItem&amp;contextData=(sc.Default)#co_pp_sp_506_558" TargetMode="External"/><Relationship Id="r60" Type="http://schemas.openxmlformats.org/officeDocument/2006/relationships/hyperlink" Target="https://www.westlaw.com/Link/Document/FullText?findType=L&amp;pubNum=1000546&amp;cite=42USCAS12182&amp;originatingDoc=I2dae19d0521b11e98335c7ebe72735f9&amp;refType=SP&amp;originationContext=document&amp;vr=3.0&amp;rs=cblt1.0&amp;transitionType=DocumentItem&amp;contextData=(sc.Default)#co_pp_8b3b0000958a4" TargetMode="External"/><Relationship Id="r81"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194" Type="http://schemas.openxmlformats.org/officeDocument/2006/relationships/hyperlink" Target="https://www.westlaw.com/Link/Document/FullText?findType=Y&amp;serNum=1994201767&amp;pubNum=0000506&amp;originatingDoc=I2dae19d0521b11e98335c7ebe72735f9&amp;refType=RP&amp;fi=co_pp_sp_506_19&amp;originationContext=document&amp;vr=3.0&amp;rs=cblt1.0&amp;transitionType=DocumentItem&amp;contextData=(sc.Default)#co_pp_sp_506_19" TargetMode="External"/><Relationship Id="r229" Type="http://schemas.openxmlformats.org/officeDocument/2006/relationships/hyperlink" Target="https://www.westlaw.com/Link/Document/FullText?findType=Y&amp;serNum=2021885516&amp;pubNum=0000506&amp;originatingDoc=I2dae19d0521b11e98335c7ebe72735f9&amp;refType=RP&amp;fi=co_pp_sp_506_675&amp;originationContext=document&amp;vr=3.0&amp;rs=cblt1.0&amp;transitionType=DocumentItem&amp;contextData=(sc.Default)#co_pp_sp_506_675" TargetMode="External"/><Relationship Id="rId3" Type="http://schemas.openxmlformats.org/officeDocument/2006/relationships/customXml" Target="customXml/item3.xml"/><Relationship Id="r240" Type="http://schemas.openxmlformats.org/officeDocument/2006/relationships/hyperlink" Target="https://www.westlaw.com/Link/Document/FullText?findType=Y&amp;serNum=2027997851&amp;pubNum=0000506&amp;originatingDoc=I2dae19d0521b11e98335c7ebe72735f9&amp;refType=RP&amp;fi=co_pp_sp_506_69&amp;originationContext=document&amp;vr=3.0&amp;rs=cblt1.0&amp;transitionType=DocumentItem&amp;contextData=(sc.Default)#co_pp_sp_506_69" TargetMode="External"/><Relationship Id="r261"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f8fc0000f70d0" TargetMode="External"/><Relationship Id="r282" Type="http://schemas.openxmlformats.org/officeDocument/2006/relationships/hyperlink" Target="https://www.westlaw.com/Link/Document/FullText?findType=Y&amp;serNum=2016114752&amp;pubNum=0000506&amp;originatingDoc=I2dae19d0521b11e98335c7ebe72735f9&amp;refType=RP&amp;fi=co_pp_sp_506_418&amp;originationContext=document&amp;vr=3.0&amp;rs=cblt1.0&amp;transitionType=DocumentItem&amp;contextData=(sc.Default)#co_pp_sp_506_418" TargetMode="External"/><Relationship Id="r317" Type="http://schemas.openxmlformats.org/officeDocument/2006/relationships/hyperlink" Target="https://www.westlaw.com/Link/Document/FullText?findType=Y&amp;serNum=2011514355&amp;pubNum=0000506&amp;originatingDoc=I2dae19d0521b11e98335c7ebe72735f9&amp;refType=RP&amp;fi=co_pp_sp_506_422&amp;originationContext=document&amp;vr=3.0&amp;rs=cblt1.0&amp;transitionType=DocumentItem&amp;contextData=(sc.Default)#co_pp_sp_506_422" TargetMode="External"/><Relationship Id="r338" Type="http://schemas.openxmlformats.org/officeDocument/2006/relationships/hyperlink" Target="https://www.westlaw.com/Link/Document/FullText?findType=Y&amp;serNum=2033578475&amp;pubNum=0000506&amp;originatingDoc=I2dae19d0521b11e98335c7ebe72735f9&amp;refType=RP&amp;fi=co_pp_sp_506_1357&amp;originationContext=document&amp;vr=3.0&amp;rs=cblt1.0&amp;transitionType=DocumentItem&amp;contextData=(sc.Default)#co_pp_sp_506_1357" TargetMode="External"/><Relationship Id="r18"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39" Type="http://schemas.openxmlformats.org/officeDocument/2006/relationships/hyperlink" Target="https://www.westlaw.com/Link/Document/FullText?findType=L&amp;pubNum=1000546&amp;cite=42USCAS12182&amp;originatingDoc=I2dae19d0521b11e98335c7ebe72735f9&amp;refType=SP&amp;originationContext=document&amp;vr=3.0&amp;rs=cblt1.0&amp;transitionType=DocumentItem&amp;contextData=(sc.Default)#co_pp_8b3b0000958a4" TargetMode="External"/><Relationship Id="r100"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121"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142" Type="http://schemas.openxmlformats.org/officeDocument/2006/relationships/hyperlink" Target="https://www.westlaw.com/Link/Document/FullText?findType=L&amp;pubNum=1000600&amp;cite=USFRCPR73&amp;originatingDoc=I2dae19d0521b11e98335c7ebe72735f9&amp;refType=LQ&amp;originationContext=document&amp;vr=3.0&amp;rs=cblt1.0&amp;transitionType=DocumentItem&amp;contextData=(sc.Default)" TargetMode="External"/><Relationship Id="r163" Type="http://schemas.openxmlformats.org/officeDocument/2006/relationships/hyperlink" Target="https://www.westlaw.com/Link/Document/FullText?findType=L&amp;pubNum=1000546&amp;cite=42USCAS12181&amp;originatingDoc=I2dae19d0521b11e98335c7ebe72735f9&amp;refType=LQ&amp;originationContext=document&amp;vr=3.0&amp;rs=cblt1.0&amp;transitionType=DocumentItem&amp;contextData=(sc.Default)" TargetMode="External"/><Relationship Id="r50" Type="http://schemas.openxmlformats.org/officeDocument/2006/relationships/hyperlink" Target="https://www.westlaw.com/Link/Document/FullText?findType=L&amp;pubNum=1000547&amp;cite=34CFRS104.4&amp;originatingDoc=I2dae19d0521b11e98335c7ebe72735f9&amp;refType=LQ&amp;originationContext=document&amp;vr=3.0&amp;rs=cblt1.0&amp;transitionType=DocumentItem&amp;contextData=(sc.Default)" TargetMode="External"/><Relationship Id="r71"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92"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184" Type="http://schemas.openxmlformats.org/officeDocument/2006/relationships/hyperlink" Target="https://www.westlaw.com/Link/Document/FullText?findType=Y&amp;serNum=2008969145&amp;pubNum=0000506&amp;originatingDoc=I2dae19d0521b11e98335c7ebe72735f9&amp;refType=RP&amp;fi=co_pp_sp_506_182&amp;originationContext=document&amp;vr=3.0&amp;rs=cblt1.0&amp;transitionType=DocumentItem&amp;contextData=(sc.Default)#co_pp_sp_506_182" TargetMode="External"/><Relationship Id="r219" Type="http://schemas.openxmlformats.org/officeDocument/2006/relationships/hyperlink" Target="https://www.westlaw.com/Link/Document/FullText?findType=Y&amp;serNum=2021885516&amp;pubNum=0000506&amp;originatingDoc=I2dae19d0521b11e98335c7ebe72735f9&amp;refType=RP&amp;fi=co_pp_sp_506_671&amp;originationContext=document&amp;vr=3.0&amp;rs=cblt1.0&amp;transitionType=DocumentItem&amp;contextData=(sc.Default)#co_pp_sp_506_671" TargetMode="External"/><Relationship Id="r230" Type="http://schemas.openxmlformats.org/officeDocument/2006/relationships/hyperlink" Target="https://www.westlaw.com/Link/Document/FullText?findType=L&amp;pubNum=1000547&amp;cite=34CFRS104.4&amp;originatingDoc=I2dae19d0521b11e98335c7ebe72735f9&amp;refType=RB&amp;originationContext=document&amp;vr=3.0&amp;rs=cblt1.0&amp;transitionType=DocumentItem&amp;contextData=(sc.Default)#co_pp_04ad0000f01d0" TargetMode="External"/><Relationship Id="r251"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272" Type="http://schemas.openxmlformats.org/officeDocument/2006/relationships/hyperlink" Target="https://www.westlaw.com/Link/Document/FullText?findType=Y&amp;serNum=2038472084&amp;pubNum=0000506&amp;originatingDoc=I2dae19d0521b11e98335c7ebe72735f9&amp;refType=RP&amp;fi=co_pp_sp_506_18&amp;originationContext=document&amp;vr=3.0&amp;rs=cblt1.0&amp;transitionType=DocumentItem&amp;contextData=(sc.Default)#co_pp_sp_506_18" TargetMode="External"/><Relationship Id="r293" Type="http://schemas.openxmlformats.org/officeDocument/2006/relationships/hyperlink" Target="https://www.westlaw.com/Link/Document/FullText?findType=Y&amp;serNum=2015486884&amp;pubNum=0000506&amp;originatingDoc=I2dae19d0521b11e98335c7ebe72735f9&amp;refType=RP&amp;fi=co_pp_sp_506_671&amp;originationContext=document&amp;vr=3.0&amp;rs=cblt1.0&amp;transitionType=DocumentItem&amp;contextData=(sc.Default)#co_pp_sp_506_671" TargetMode="External"/><Relationship Id="r307"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328" Type="http://schemas.openxmlformats.org/officeDocument/2006/relationships/hyperlink" Target="https://www.westlaw.com/Link/Document/FullText?findType=Y&amp;serNum=1980116753&amp;pubNum=0000780&amp;originatingDoc=I2dae19d0521b11e98335c7ebe72735f9&amp;refType=RP&amp;fi=co_pp_sp_780_640&amp;originationContext=document&amp;vr=3.0&amp;rs=cblt1.0&amp;transitionType=DocumentItem&amp;contextData=(sc.Default)#co_pp_sp_780_640" TargetMode="External"/><Relationship Id="r7" Type="http://schemas.openxmlformats.org/officeDocument/2006/relationships/hyperlink" Target="https://1.next.westlaw.com/Link/RelatedInformation/Flag?documentGuid=Idf4dbd6011ff11ed8dd6bc0980139da1&amp;transitionType=Document&amp;originationContext=docHeaderFlag&amp;Rank=0&amp;ppcid=e799d6bd148648f0ab842c72555fd749&amp;contextData=(sc.Default)" TargetMode="External"/><Relationship Id="r29"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111" Type="http://schemas.openxmlformats.org/officeDocument/2006/relationships/hyperlink" Target="https://www.westlaw.com/Link/RelatedInformation/DocHeadnoteLink?docGuid=I2dae19d0521b11e98335c7ebe72735f9&amp;headnoteId=204788662702620230728214225&amp;originationContext=document&amp;vr=3.0&amp;rs=cblt1.0&amp;transitionType=CitingReferences&amp;contextData=(sc.Default)" TargetMode="External"/><Relationship Id="r132" Type="http://schemas.openxmlformats.org/officeDocument/2006/relationships/hyperlink" Target="https://www.westlaw.com/Link/Document/FullText?findType=h&amp;pubNum=176284&amp;cite=0275101901&amp;originatingDoc=I2dae19d0521b11e98335c7ebe72735f9&amp;refType=RQ&amp;originationContext=document&amp;vr=3.0&amp;rs=cblt1.0&amp;transitionType=DocumentItem&amp;contextData=(sc.Default)" TargetMode="External"/><Relationship Id="r349" Type="http://schemas.openxmlformats.org/officeDocument/2006/relationships/hyperlink" Target="https://www.westlaw.com/Link/Document/FullText?findType=Y&amp;serNum=2011514355&amp;pubNum=0000506&amp;originatingDoc=I2dae19d0521b11e98335c7ebe72735f9&amp;refType=RP&amp;fi=co_pp_sp_506_415&amp;originationContext=document&amp;vr=3.0&amp;rs=cblt1.0&amp;transitionType=DocumentItem&amp;contextData=(sc.Default)#co_pp_sp_506_415" TargetMode="External"/><Relationship Id="r40" Type="http://schemas.openxmlformats.org/officeDocument/2006/relationships/hyperlink" Target="https://www.westlaw.com/Link/Document/FullText?findType=L&amp;pubNum=1000547&amp;cite=28CFRS36.303&amp;originatingDoc=I2dae19d0521b11e98335c7ebe72735f9&amp;refType=LQ&amp;originationContext=document&amp;vr=3.0&amp;rs=cblt1.0&amp;transitionType=DocumentItem&amp;contextData=(sc.Default)" TargetMode="External"/><Relationship Id="r61" Type="http://schemas.openxmlformats.org/officeDocument/2006/relationships/hyperlink" Target="https://www.westlaw.com/Link/Document/FullText?findType=L&amp;pubNum=1000547&amp;cite=28CFRS36.202&amp;originatingDoc=I2dae19d0521b11e98335c7ebe72735f9&amp;refType=LQ&amp;originationContext=document&amp;vr=3.0&amp;rs=cblt1.0&amp;transitionType=DocumentItem&amp;contextData=(sc.Default)" TargetMode="External"/><Relationship Id="r82"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153" Type="http://schemas.openxmlformats.org/officeDocument/2006/relationships/hyperlink" Target="https://www.westlaw.com/Link/Document/FullText?findType=L&amp;pubNum=1000546&amp;cite=29USCAS701&amp;originatingDoc=I2dae19d0521b11e98335c7ebe72735f9&amp;refType=RB&amp;originationContext=document&amp;vr=3.0&amp;rs=cblt1.0&amp;transitionType=DocumentItem&amp;contextData=(sc.Default)#co_pp_fcf30000ea9c4" TargetMode="External"/><Relationship Id="r174" Type="http://schemas.openxmlformats.org/officeDocument/2006/relationships/hyperlink" Target="https://www.westlaw.com/Link/Document/FullText?findType=L&amp;pubNum=1000547&amp;cite=28CFRS36.303&amp;originatingDoc=I2dae19d0521b11e98335c7ebe72735f9&amp;refType=RB&amp;originationContext=document&amp;vr=3.0&amp;rs=cblt1.0&amp;transitionType=DocumentItem&amp;contextData=(sc.Default)#co_pp_10c0000001331" TargetMode="External"/><Relationship Id="r195" Type="http://schemas.openxmlformats.org/officeDocument/2006/relationships/hyperlink" Target="https://www.westlaw.com/Link/Document/FullText?findType=Y&amp;serNum=1999263786&amp;pubNum=0000506&amp;originatingDoc=I2dae19d0521b11e98335c7ebe72735f9&amp;refType=RP&amp;fi=co_pp_sp_506_32&amp;originationContext=document&amp;vr=3.0&amp;rs=cblt1.0&amp;transitionType=DocumentItem&amp;contextData=(sc.Default)#co_pp_sp_506_32" TargetMode="External"/><Relationship Id="r209" Type="http://schemas.openxmlformats.org/officeDocument/2006/relationships/hyperlink" Target="https://www.westlaw.com/Link/Document/FullText?findType=L&amp;pubNum=1000546&amp;cite=42USCAS12181&amp;originatingDoc=I2dae19d0521b11e98335c7ebe72735f9&amp;refType=RB&amp;originationContext=document&amp;vr=3.0&amp;rs=cblt1.0&amp;transitionType=DocumentItem&amp;contextData=(sc.Default)#co_pp_794b00004e3d1" TargetMode="External"/><Relationship Id="r220" Type="http://schemas.openxmlformats.org/officeDocument/2006/relationships/hyperlink" Target="https://www.westlaw.com/Link/Document/FullText?findType=Y&amp;serNum=2000024129&amp;pubNum=0000506&amp;originatingDoc=I2dae19d0521b11e98335c7ebe72735f9&amp;refType=RP&amp;fi=co_pp_sp_506_1115&amp;originationContext=document&amp;vr=3.0&amp;rs=cblt1.0&amp;transitionType=DocumentItem&amp;contextData=(sc.Default)#co_pp_sp_506_1115" TargetMode="External"/><Relationship Id="r262" Type="http://schemas.openxmlformats.org/officeDocument/2006/relationships/hyperlink" Target="https://www.westlaw.com/Link/Document/FullText?findType=Y&amp;serNum=2011514355&amp;pubNum=0000506&amp;originatingDoc=I2dae19d0521b11e98335c7ebe72735f9&amp;refType=RP&amp;fi=co_pp_sp_506_419&amp;originationContext=document&amp;vr=3.0&amp;rs=cblt1.0&amp;transitionType=DocumentItem&amp;contextData=(sc.Default)#co_pp_sp_506_419" TargetMode="External"/><Relationship Id="r318"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19" Type="http://schemas.openxmlformats.org/officeDocument/2006/relationships/hyperlink" Target="https://www.westlaw.com/Browse/Home/KeyNumber/170AVII(L)/View.html?docGuid=I2dae19d0521b11e98335c7ebe72735f9&amp;originationContext=document&amp;vr=3.0&amp;rs=cblt1.0&amp;transitionType=DocumentItem&amp;contextData=(sc.Default)" TargetMode="External"/><Relationship Id="r122" Type="http://schemas.openxmlformats.org/officeDocument/2006/relationships/hyperlink" Target="https://www.westlaw.com/Link/Document/FullText?findType=L&amp;pubNum=1000546&amp;cite=29USCAS794&amp;originatingDoc=I2dae19d0521b11e98335c7ebe72735f9&amp;refType=LQ&amp;originationContext=document&amp;vr=3.0&amp;rs=cblt1.0&amp;transitionType=DocumentItem&amp;contextData=(sc.Default)" TargetMode="External"/><Relationship Id="r30"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72" Type="http://schemas.openxmlformats.org/officeDocument/2006/relationships/hyperlink" Target="https://www.westlaw.com/Link/Document/FullText?findType=L&amp;pubNum=1000546&amp;cite=47USCAS230&amp;originatingDoc=I2dae19d0521b11e98335c7ebe72735f9&amp;refType=SP&amp;originationContext=document&amp;vr=3.0&amp;rs=cblt1.0&amp;transitionType=DocumentItem&amp;contextData=(sc.Default)#co_pp_f8fc0000f70d0" TargetMode="External"/><Relationship Id="r164" Type="http://schemas.openxmlformats.org/officeDocument/2006/relationships/hyperlink" Target="https://www.westlaw.com/Link/Document/FullText?findType=L&amp;pubNum=1000546&amp;cite=42USCAS12189&amp;originatingDoc=I2dae19d0521b11e98335c7ebe72735f9&amp;refType=LQ&amp;originationContext=document&amp;vr=3.0&amp;rs=cblt1.0&amp;transitionType=DocumentItem&amp;contextData=(sc.Default)" TargetMode="External"/><Relationship Id="r231" Type="http://schemas.openxmlformats.org/officeDocument/2006/relationships/hyperlink" Target="https://www.westlaw.com/Link/Document/FullText?findType=L&amp;pubNum=1000547&amp;cite=34CFRS104.4&amp;originatingDoc=I2dae19d0521b11e98335c7ebe72735f9&amp;refType=LQ&amp;originationContext=document&amp;vr=3.0&amp;rs=cblt1.0&amp;transitionType=DocumentItem&amp;contextData=(sc.Default)" TargetMode="External"/><Relationship Id="r273" Type="http://schemas.openxmlformats.org/officeDocument/2006/relationships/hyperlink" Target="https://www.westlaw.com/Link/Document/FullText?findType=Y&amp;serNum=2016114752&amp;pubNum=0000506&amp;originatingDoc=I2dae19d0521b11e98335c7ebe72735f9&amp;refType=RP&amp;fi=co_pp_sp_506_418&amp;originationContext=document&amp;vr=3.0&amp;rs=cblt1.0&amp;transitionType=DocumentItem&amp;contextData=(sc.Default)#co_pp_sp_506_418" TargetMode="External"/><Relationship Id="r329"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41" Type="http://schemas.openxmlformats.org/officeDocument/2006/relationships/hyperlink" Target="https://www.westlaw.com/Browse/Home/KeyNumber/78/View.html?docGuid=I2dae19d0521b11e98335c7ebe72735f9&amp;originationContext=document&amp;vr=3.0&amp;rs=cblt1.0&amp;transitionType=DocumentItem&amp;contextData=(sc.Default)" TargetMode="External"/><Relationship Id="r133" Type="http://schemas.openxmlformats.org/officeDocument/2006/relationships/hyperlink" Target="https://www.westlaw.com/Link/Document/FullText?findType=h&amp;pubNum=176284&amp;cite=0490906299&amp;originatingDoc=I2dae19d0521b11e98335c7ebe72735f9&amp;refType=RQ&amp;originationContext=document&amp;vr=3.0&amp;rs=cblt1.0&amp;transitionType=DocumentItem&amp;contextData=(sc.Default)" TargetMode="External"/><Relationship Id="r175" Type="http://schemas.openxmlformats.org/officeDocument/2006/relationships/hyperlink" Target="https://www.westlaw.com/Link/Document/FullText?findType=L&amp;pubNum=1000547&amp;cite=28CFRS36.303&amp;originatingDoc=I2dae19d0521b11e98335c7ebe72735f9&amp;refType=RB&amp;originationContext=document&amp;vr=3.0&amp;rs=cblt1.0&amp;transitionType=DocumentItem&amp;contextData=(sc.Default)#co_pp_16f4000091d86" TargetMode="External"/><Relationship Id="r340" Type="http://schemas.openxmlformats.org/officeDocument/2006/relationships/hyperlink" Target="https://www.westlaw.com/Link/Document/FullText?findType=L&amp;pubNum=1000547&amp;cite=28CFRS41.1&amp;originatingDoc=I2dae19d0521b11e98335c7ebe72735f9&amp;refType=LQ&amp;originationContext=document&amp;vr=3.0&amp;rs=cblt1.0&amp;transitionType=DocumentItem&amp;contextData=(sc.Default)" TargetMode="External"/><Relationship Id="r83"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200" Type="http://schemas.openxmlformats.org/officeDocument/2006/relationships/hyperlink" Target="https://www.westlaw.com/Link/Document/FullText?findType=Y&amp;serNum=2039593875&amp;pubNum=0000506&amp;originatingDoc=I2dae19d0521b11e98335c7ebe72735f9&amp;refType=RP&amp;fi=co_pp_sp_506_534&amp;originationContext=document&amp;vr=3.0&amp;rs=cblt1.0&amp;transitionType=DocumentItem&amp;contextData=(sc.Default)#co_pp_sp_506_534" TargetMode="External"/><Relationship Id="r242" Type="http://schemas.openxmlformats.org/officeDocument/2006/relationships/hyperlink" Target="https://www.westlaw.com/Link/Document/FullText?findType=L&amp;pubNum=1000547&amp;cite=28CFRS35.130&amp;originatingDoc=I2dae19d0521b11e98335c7ebe72735f9&amp;refType=RB&amp;originationContext=document&amp;vr=3.0&amp;rs=cblt1.0&amp;transitionType=DocumentItem&amp;contextData=(sc.Default)#co_pp_3fed000053a85" TargetMode="External"/><Relationship Id="r284" Type="http://schemas.openxmlformats.org/officeDocument/2006/relationships/hyperlink" Target="https://www.westlaw.com/Link/Document/FullText?findType=Y&amp;serNum=2011514355&amp;pubNum=0000506&amp;originatingDoc=I2dae19d0521b11e98335c7ebe72735f9&amp;refType=RP&amp;fi=co_pp_sp_506_421&amp;originationContext=document&amp;vr=3.0&amp;rs=cblt1.0&amp;transitionType=DocumentItem&amp;contextData=(sc.Default)#co_pp_sp_506_421" TargetMode="External"/><Relationship Id="r10" Type="http://schemas.openxmlformats.org/officeDocument/2006/relationships/hyperlink" Target="https://www.westlaw.com/Link/Document/FullText?findType=h&amp;pubNum=176284&amp;cite=0202657499&amp;originatingDoc=I2dae19d0521b11e98335c7ebe72735f9&amp;refType=RQ&amp;originationContext=document&amp;vr=3.0&amp;rs=cblt1.0&amp;transitionType=DocumentItem&amp;contextData=(sc.Default)" TargetMode="External"/><Relationship Id="r52" Type="http://schemas.openxmlformats.org/officeDocument/2006/relationships/hyperlink" Target="https://www.westlaw.com/Browse/Home/KeyNumber/78k1053/View.html?docGuid=I2dae19d0521b11e98335c7ebe72735f9&amp;originationContext=document&amp;vr=3.0&amp;rs=cblt1.0&amp;transitionType=DocumentItem&amp;contextData=(sc.Default)" TargetMode="External"/><Relationship Id="r102"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144" Type="http://schemas.openxmlformats.org/officeDocument/2006/relationships/hyperlink" Target="https://www.westlaw.com/Link/Document/FullText?findType=Y&amp;serNum=1997177880&amp;pubNum=0000345&amp;originatingDoc=I2dae19d0521b11e98335c7ebe72735f9&amp;refType=RP&amp;fi=co_pp_sp_345_133&amp;originationContext=document&amp;vr=3.0&amp;rs=cblt1.0&amp;transitionType=DocumentItem&amp;contextData=(sc.Default)#co_pp_sp_345_133" TargetMode="External"/><Relationship Id="r186" Type="http://schemas.openxmlformats.org/officeDocument/2006/relationships/hyperlink" Target="https://www.westlaw.com/Link/Document/FullText?findType=Y&amp;serNum=2008914781&amp;pubNum=0000506&amp;originatingDoc=I2dae19d0521b11e98335c7ebe72735f9&amp;refType=RP&amp;fi=co_pp_sp_506_54&amp;originationContext=document&amp;vr=3.0&amp;rs=cblt1.0&amp;transitionType=DocumentItem&amp;contextData=(sc.Default)#co_pp_sp_506_54" TargetMode="External"/><Relationship Id="r351"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94"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211" Type="http://schemas.openxmlformats.org/officeDocument/2006/relationships/hyperlink" Target="https://www.westlaw.com/Link/Document/FullText?findType=Y&amp;serNum=2039593875&amp;pubNum=0000506&amp;originatingDoc=I2dae19d0521b11e98335c7ebe72735f9&amp;refType=RP&amp;fi=co_pp_sp_506_534&amp;originationContext=document&amp;vr=3.0&amp;rs=cblt1.0&amp;transitionType=DocumentItem&amp;contextData=(sc.Default)#co_pp_sp_506_534" TargetMode="External"/><Relationship Id="r9" Type="http://schemas.openxmlformats.org/officeDocument/2006/relationships/hyperlink" Target="https://www.westlaw.com/Document/Idf4dbd6011ff11ed8dd6bc0980139da1/View/FullText.html?navigationPath=RelatedInfo%2Fv4%2Fkeycite%2Fnav%2F%3Fguid%3DIdf4dbd6011ff11ed8dd6bc0980139da1%26ss%3D2047886627%26ds%3D2056694489%26origDocGuid%3DI2dae19d0521b11e98335c7ebe72735f9&amp;listSource=RelatedInfo&amp;list=NegativeCitingReferences&amp;rank=0&amp;ppcid=e799d6bd148648f0ab842c72555fd749&amp;originationContext=docHeader&amp;transitionType=NegativeTreatment&amp;contextData=%28sc.Default%29&amp;VR=3.0&amp;RS=cblt1.0" TargetMode="External"/><Relationship Id="r253"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295" Type="http://schemas.openxmlformats.org/officeDocument/2006/relationships/hyperlink" Target="https://www.westlaw.com/Link/Document/FullText?findType=Y&amp;serNum=1974138446&amp;pubNum=0000780&amp;originatingDoc=I2dae19d0521b11e98335c7ebe72735f9&amp;refType=RP&amp;fi=co_pp_sp_780_126&amp;originationContext=document&amp;vr=3.0&amp;rs=cblt1.0&amp;transitionType=DocumentItem&amp;contextData=(sc.Default)#co_pp_sp_780_126" TargetMode="External"/><Relationship Id="r309"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21"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113" Type="http://schemas.openxmlformats.org/officeDocument/2006/relationships/hyperlink" Target="https://www.westlaw.com/Browse/Home/KeyNumber/170Ak1048/View.html?docGuid=I2dae19d0521b11e98335c7ebe72735f9&amp;originationContext=document&amp;vr=3.0&amp;rs=cblt1.0&amp;transitionType=DocumentItem&amp;contextData=(sc.Default)" TargetMode="External"/><Relationship Id="r155" Type="http://schemas.openxmlformats.org/officeDocument/2006/relationships/hyperlink" Target="https://www.westlaw.com/Link/Document/FullText?findType=L&amp;pubNum=1000547&amp;cite=34CFRS104.4&amp;originatingDoc=I2dae19d0521b11e98335c7ebe72735f9&amp;refType=RB&amp;originationContext=document&amp;vr=3.0&amp;rs=cblt1.0&amp;transitionType=DocumentItem&amp;contextData=(sc.Default)#co_pp_a83b000018c76" TargetMode="External"/><Relationship Id="r320" Type="http://schemas.openxmlformats.org/officeDocument/2006/relationships/hyperlink" Target="https://www.westlaw.com/Link/Document/FullText?findType=Y&amp;serNum=2033578475&amp;pubNum=0000506&amp;originatingDoc=I2dae19d0521b11e98335c7ebe72735f9&amp;refType=RP&amp;fi=co_pp_sp_506_1358&amp;originationContext=document&amp;vr=3.0&amp;rs=cblt1.0&amp;transitionType=DocumentItem&amp;contextData=(sc.Default)#co_pp_sp_506_1358" TargetMode="External"/><Relationship Id="r63" Type="http://schemas.openxmlformats.org/officeDocument/2006/relationships/hyperlink" Target="https://www.westlaw.com/Browse/Home/KeyNumber/372/View.html?docGuid=I2dae19d0521b11e98335c7ebe72735f9&amp;originationContext=document&amp;vr=3.0&amp;rs=cblt1.0&amp;transitionType=DocumentItem&amp;contextData=(sc.Default)" TargetMode="External"/><Relationship Id="r197" Type="http://schemas.openxmlformats.org/officeDocument/2006/relationships/hyperlink" Target="https://www.westlaw.com/Link/Document/FullText?findType=Y&amp;serNum=1999133340&amp;pubNum=0000506&amp;originatingDoc=I2dae19d0521b11e98335c7ebe72735f9&amp;refType=RP&amp;fi=co_pp_sp_506_559&amp;originationContext=document&amp;vr=3.0&amp;rs=cblt1.0&amp;transitionType=DocumentItem&amp;contextData=(sc.Default)#co_pp_sp_506_559" TargetMode="External"/><Relationship Id="r222"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264"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10c0000001331" TargetMode="External"/><Relationship Id="r124"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166" Type="http://schemas.openxmlformats.org/officeDocument/2006/relationships/hyperlink" Target="https://www.westlaw.com/Link/Document/FullText?findType=L&amp;pubNum=1000546&amp;cite=42USCAS12181&amp;originatingDoc=I2dae19d0521b11e98335c7ebe72735f9&amp;refType=RB&amp;originationContext=document&amp;vr=3.0&amp;rs=cblt1.0&amp;transitionType=DocumentItem&amp;contextData=(sc.Default)#co_pp_916100008b3e1" TargetMode="External"/><Relationship Id="r331" Type="http://schemas.openxmlformats.org/officeDocument/2006/relationships/hyperlink" Target="https://www.westlaw.com/Link/Document/FullText?findType=Y&amp;serNum=1989122043&amp;pubNum=0000350&amp;originatingDoc=I2dae19d0521b11e98335c7ebe72735f9&amp;refType=RP&amp;fi=co_pp_sp_350_591&amp;originationContext=document&amp;vr=3.0&amp;rs=cblt1.0&amp;transitionType=DocumentItem&amp;contextData=(sc.Default)#co_pp_sp_350_591" TargetMode="External"/><Relationship Id="r32" Type="http://schemas.openxmlformats.org/officeDocument/2006/relationships/hyperlink" Target="https://www.westlaw.com/Browse/Home/KeyNumber/170A/View.html?docGuid=I2dae19d0521b11e98335c7ebe72735f9&amp;originationContext=document&amp;vr=3.0&amp;rs=cblt1.0&amp;transitionType=DocumentItem&amp;contextData=(sc.Default)" TargetMode="External"/><Relationship Id="r74" Type="http://schemas.openxmlformats.org/officeDocument/2006/relationships/hyperlink" Target="https://www.westlaw.com/Browse/Home/KeyNumber/372k1827/View.html?docGuid=I2dae19d0521b11e98335c7ebe72735f9&amp;originationContext=document&amp;vr=3.0&amp;rs=cblt1.0&amp;transitionType=DocumentItem&amp;contextData=(sc.Default)" TargetMode="External"/><Relationship Id="r233" Type="http://schemas.openxmlformats.org/officeDocument/2006/relationships/hyperlink" Target="https://www.westlaw.com/Link/Document/FullText?findType=L&amp;pubNum=1000547&amp;cite=34CFRS104.4&amp;originatingDoc=I2dae19d0521b11e98335c7ebe72735f9&amp;refType=LQ&amp;originationContext=document&amp;vr=3.0&amp;rs=cblt1.0&amp;transitionType=DocumentItem&amp;contextData=(sc.Default)" TargetMode="External"/><Relationship Id="r275" Type="http://schemas.openxmlformats.org/officeDocument/2006/relationships/hyperlink" Target="https://www.westlaw.com/Link/Document/FullText?findType=Y&amp;serNum=2009567220&amp;pubNum=0000506&amp;originatingDoc=I2dae19d0521b11e98335c7ebe72735f9&amp;refType=RP&amp;fi=co_pp_sp_506_1321&amp;originationContext=document&amp;vr=3.0&amp;rs=cblt1.0&amp;transitionType=DocumentItem&amp;contextData=(sc.Default)#co_pp_sp_506_1321" TargetMode="External"/><Relationship Id="r135" Type="http://schemas.openxmlformats.org/officeDocument/2006/relationships/hyperlink" Target="https://www.westlaw.com/Link/Document/FullText?findType=h&amp;pubNum=176284&amp;cite=0352283301&amp;originatingDoc=I2dae19d0521b11e98335c7ebe72735f9&amp;refType=RQ&amp;originationContext=document&amp;vr=3.0&amp;rs=cblt1.0&amp;transitionType=DocumentItem&amp;contextData=(sc.Default)" TargetMode="External"/><Relationship Id="r300" Type="http://schemas.openxmlformats.org/officeDocument/2006/relationships/hyperlink" Target="https://www.westlaw.com/Link/Document/FullText?findType=L&amp;pubNum=1000546&amp;cite=47USCAS230&amp;originatingDoc=I2dae19d0521b11e98335c7ebe72735f9&amp;refType=LQ&amp;originationContext=document&amp;vr=3.0&amp;rs=cblt1.0&amp;transitionType=DocumentItem&amp;contextData=(sc.Default)" TargetMode="External"/><Relationship Id="r342" Type="http://schemas.openxmlformats.org/officeDocument/2006/relationships/hyperlink" Target="https://www.westlaw.com/Link/Document/FullText?findType=L&amp;pubNum=1000547&amp;cite=34CFRS104.1&amp;originatingDoc=I2dae19d0521b11e98335c7ebe72735f9&amp;refType=LQ&amp;originationContext=document&amp;vr=3.0&amp;rs=cblt1.0&amp;transitionType=DocumentItem&amp;contextData=(sc.Default)" TargetMode="External"/><Relationship Id="r43" Type="http://schemas.openxmlformats.org/officeDocument/2006/relationships/hyperlink" Target="https://www.westlaw.com/Link/Document/FullText?findType=L&amp;pubNum=1000546&amp;cite=42USCAS12182&amp;originatingDoc=I2dae19d0521b11e98335c7ebe72735f9&amp;refType=SP&amp;originationContext=document&amp;vr=3.0&amp;rs=cblt1.0&amp;transitionType=DocumentItem&amp;contextData=(sc.Default)#co_pp_8b3b0000958a4" TargetMode="External"/><Relationship Id="r85" Type="http://schemas.openxmlformats.org/officeDocument/2006/relationships/hyperlink" Target="https://www.westlaw.com/Browse/Home/KeyNumber/170AVII(L)2/View.html?docGuid=I2dae19d0521b11e98335c7ebe72735f9&amp;originationContext=document&amp;vr=3.0&amp;rs=cblt1.0&amp;transitionType=DocumentItem&amp;contextData=(sc.Default)" TargetMode="External"/><Relationship Id="r177" Type="http://schemas.openxmlformats.org/officeDocument/2006/relationships/hyperlink" Target="https://www.westlaw.com/Link/Document/FullText?findType=Y&amp;serNum=2039283210&amp;pubNum=0000999&amp;originatingDoc=I2dae19d0521b11e98335c7ebe72735f9&amp;refType=RP&amp;originationContext=document&amp;vr=3.0&amp;rs=cblt1.0&amp;transitionType=DocumentItem&amp;contextData=(sc.Default)" TargetMode="External"/><Relationship Id="r202" Type="http://schemas.openxmlformats.org/officeDocument/2006/relationships/hyperlink" Target="https://www.westlaw.com/Link/Document/FullText?findType=Y&amp;serNum=1995148773&amp;pubNum=0000506&amp;originatingDoc=I2dae19d0521b11e98335c7ebe72735f9&amp;refType=RP&amp;fi=co_pp_sp_506_583&amp;originationContext=document&amp;vr=3.0&amp;rs=cblt1.0&amp;transitionType=DocumentItem&amp;contextData=(sc.Default)#co_pp_sp_506_583" TargetMode="External"/><Relationship Id="r244" Type="http://schemas.openxmlformats.org/officeDocument/2006/relationships/hyperlink" Target="https://www.westlaw.com/Link/Document/FullText?findType=L&amp;pubNum=1000547&amp;cite=28CFRS35.130&amp;originatingDoc=I2dae19d0521b11e98335c7ebe72735f9&amp;refType=RB&amp;originationContext=document&amp;vr=3.0&amp;rs=cblt1.0&amp;transitionType=DocumentItem&amp;contextData=(sc.Default)#co_pp_61d20000b6d76" TargetMode="External"/><Relationship Id="r286"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10c0000001331" TargetMode="External"/><Relationship Id="r104" Type="http://schemas.openxmlformats.org/officeDocument/2006/relationships/hyperlink" Target="https://www.westlaw.com/Browse/Home/KeyNumber/170Ak1752/View.html?docGuid=I2dae19d0521b11e98335c7ebe72735f9&amp;originationContext=document&amp;vr=3.0&amp;rs=cblt1.0&amp;transitionType=DocumentItem&amp;contextData=(sc.Default)" TargetMode="External"/><Relationship Id="r311" Type="http://schemas.openxmlformats.org/officeDocument/2006/relationships/hyperlink" Target="https://www.westlaw.com/Link/Document/FullText?findType=Y&amp;serNum=2011514355&amp;pubNum=0000506&amp;originatingDoc=I2dae19d0521b11e98335c7ebe72735f9&amp;refType=RP&amp;fi=co_pp_sp_506_422&amp;originationContext=document&amp;vr=3.0&amp;rs=cblt1.0&amp;transitionType=DocumentItem&amp;contextData=(sc.Default)#co_pp_sp_506_422" TargetMode="External"/><Relationship Id="r12" Type="http://schemas.openxmlformats.org/officeDocument/2006/relationships/hyperlink" Target="https://www.westlaw.com/Browse/Home/KeyNumber/170Ak811/View.html?docGuid=I2dae19d0521b11e98335c7ebe72735f9&amp;originationContext=document&amp;vr=3.0&amp;rs=cblt1.0&amp;transitionType=DocumentItem&amp;contextData=(sc.Default)" TargetMode="External"/><Relationship Id="r54" Type="http://schemas.openxmlformats.org/officeDocument/2006/relationships/hyperlink" Target="https://www.westlaw.com/Link/Document/FullText?findType=L&amp;pubNum=1000547&amp;cite=28CFRS35.130&amp;originatingDoc=I2dae19d0521b11e98335c7ebe72735f9&amp;refType=LQ&amp;originationContext=document&amp;vr=3.0&amp;rs=cblt1.0&amp;transitionType=DocumentItem&amp;contextData=(sc.Default)" TargetMode="External"/><Relationship Id="r96" Type="http://schemas.openxmlformats.org/officeDocument/2006/relationships/hyperlink" Target="https://www.westlaw.com/Browse/Home/KeyNumber/361/View.html?docGuid=I2dae19d0521b11e98335c7ebe72735f9&amp;originationContext=document&amp;vr=3.0&amp;rs=cblt1.0&amp;transitionType=DocumentItem&amp;contextData=(sc.Default)" TargetMode="External"/><Relationship Id="r146" Type="http://schemas.openxmlformats.org/officeDocument/2006/relationships/hyperlink" Target="https://www.westlaw.com/Link/Document/FullText?findType=Y&amp;serNum=1995038835&amp;pubNum=0000506&amp;originatingDoc=I2dae19d0521b11e98335c7ebe72735f9&amp;refType=RP&amp;fi=co_pp_sp_506_330&amp;originationContext=document&amp;vr=3.0&amp;rs=cblt1.0&amp;transitionType=DocumentItem&amp;contextData=(sc.Default)#co_pp_sp_506_330" TargetMode="External"/><Relationship Id="r188" Type="http://schemas.openxmlformats.org/officeDocument/2006/relationships/hyperlink" Target="https://www.westlaw.com/Link/Document/FullText?findType=Y&amp;serNum=2034327211&amp;pubNum=0000506&amp;originatingDoc=I2dae19d0521b11e98335c7ebe72735f9&amp;refType=RP&amp;fi=co_pp_sp_506_145&amp;originationContext=document&amp;vr=3.0&amp;rs=cblt1.0&amp;transitionType=DocumentItem&amp;contextData=(sc.Default)#co_pp_sp_506_145" TargetMode="External"/><Relationship Id="r353" Type="http://schemas.openxmlformats.org/officeDocument/2006/relationships/hyperlink" Target="https://www.westlaw.com/Link/Document/FullText?findType=Y&amp;serNum=2003712095&amp;pubNum=0000506&amp;originatingDoc=I2dae19d0521b11e98335c7ebe72735f9&amp;refType=RP&amp;fi=co_pp_sp_506_657&amp;originationContext=document&amp;vr=3.0&amp;rs=cblt1.0&amp;transitionType=DocumentItem&amp;contextData=(sc.Default)#co_pp_sp_506_657" TargetMode="External"/><Relationship Id="r213" Type="http://schemas.openxmlformats.org/officeDocument/2006/relationships/hyperlink" Target="https://www.westlaw.com/Link/Document/FullText?findType=Y&amp;serNum=1998112775&amp;pubNum=0000506&amp;originatingDoc=I2dae19d0521b11e98335c7ebe72735f9&amp;refType=RP&amp;fi=co_pp_sp_506_613&amp;originationContext=document&amp;vr=3.0&amp;rs=cblt1.0&amp;transitionType=DocumentItem&amp;contextData=(sc.Default)#co_pp_sp_506_613" TargetMode="External"/><Relationship Id="r255" Type="http://schemas.openxmlformats.org/officeDocument/2006/relationships/hyperlink" Target="https://www.westlaw.com/Link/Document/FullText?findType=L&amp;pubNum=1000546&amp;cite=47USCAS230&amp;originatingDoc=I2dae19d0521b11e98335c7ebe72735f9&amp;refType=RB&amp;originationContext=document&amp;vr=3.0&amp;rs=cblt1.0&amp;transitionType=DocumentItem&amp;contextData=(sc.Default)#co_pp_10c0000001331" TargetMode="External"/><Relationship Id="r115" Type="http://schemas.openxmlformats.org/officeDocument/2006/relationships/hyperlink" Target="https://www.westlaw.com/Browse/Home/KeyNumber/170Ak1752/View.html?docGuid=I2dae19d0521b11e98335c7ebe72735f9&amp;originationContext=document&amp;vr=3.0&amp;rs=cblt1.0&amp;transitionType=DocumentItem&amp;contextData=(sc.Default)" TargetMode="External"/><Relationship Id="r297" Type="http://schemas.openxmlformats.org/officeDocument/2006/relationships/hyperlink" Target="https://www.westlaw.com/Link/Document/FullText?findType=L&amp;pubNum=1000546&amp;cite=18USCAS1591&amp;originatingDoc=I2dae19d0521b11e98335c7ebe72735f9&amp;refType=LQ&amp;originationContext=document&amp;vr=3.0&amp;rs=cblt1.0&amp;transitionType=DocumentItem&amp;contextData=(sc.Default)" TargetMode="External"/><Relationship Id="r23" Type="http://schemas.openxmlformats.org/officeDocument/2006/relationships/hyperlink" Target="https://www.westlaw.com/Link/Document/FullText?findType=L&amp;pubNum=1000600&amp;cite=USFRCPR12&amp;originatingDoc=I2dae19d0521b11e98335c7ebe72735f9&amp;refType=LQ&amp;originationContext=document&amp;vr=3.0&amp;rs=cblt1.0&amp;transitionType=DocumentItem&amp;contextData=(sc.Default)" TargetMode="External"/><Relationship Id="r65" Type="http://schemas.openxmlformats.org/officeDocument/2006/relationships/hyperlink" Target="https://www.westlaw.com/Link/Document/FullText?findType=L&amp;pubNum=1000546&amp;cite=47USCAS230&amp;originatingDoc=I2dae19d0521b11e98335c7ebe72735f9&amp;refType=SP&amp;originationContext=document&amp;vr=3.0&amp;rs=cblt1.0&amp;transitionType=DocumentItem&amp;contextData=(sc.Default)#co_pp_10c0000001331" TargetMode="External"/><Relationship Id="r157" Type="http://schemas.openxmlformats.org/officeDocument/2006/relationships/hyperlink" Target="https://www.westlaw.com/Link/Document/FullText?findType=L&amp;pubNum=1000547&amp;cite=28CFRS41.32&amp;originatingDoc=I2dae19d0521b11e98335c7ebe72735f9&amp;refType=RB&amp;originationContext=document&amp;vr=3.0&amp;rs=cblt1.0&amp;transitionType=DocumentItem&amp;contextData=(sc.Default)#co_pp_a83b000018c76" TargetMode="External"/><Relationship Id="r199" Type="http://schemas.openxmlformats.org/officeDocument/2006/relationships/hyperlink" Target="https://www.westlaw.com/Link/Document/FullText?findType=Y&amp;serNum=2000024129&amp;pubNum=0000506&amp;originatingDoc=I2dae19d0521b11e98335c7ebe72735f9&amp;refType=RP&amp;fi=co_pp_sp_506_1114&amp;originationContext=document&amp;vr=3.0&amp;rs=cblt1.0&amp;transitionType=DocumentItem&amp;contextData=(sc.Default)#co_pp_sp_506_1114" TargetMode="External"/><Relationship Id="r322" Type="http://schemas.openxmlformats.org/officeDocument/2006/relationships/hyperlink" Target="https://www.westlaw.com/Link/Document/FullText?findType=Y&amp;serNum=2011245423&amp;pubNum=0000780&amp;originatingDoc=I2dae19d0521b11e98335c7ebe72735f9&amp;refType=RP&amp;fi=co_pp_sp_780_215&amp;originationContext=document&amp;vr=3.0&amp;rs=cblt1.0&amp;transitionType=DocumentItem&amp;contextData=(sc.Default)#co_pp_sp_780_215" TargetMode="External"/><Relationship Id="r224" Type="http://schemas.openxmlformats.org/officeDocument/2006/relationships/hyperlink" Target="https://www.westlaw.com/Link/Document/FullText?findType=L&amp;pubNum=1000547&amp;cite=28CFRS36.303&amp;originatingDoc=I2dae19d0521b11e98335c7ebe72735f9&amp;refType=RB&amp;originationContext=document&amp;vr=3.0&amp;rs=cblt1.0&amp;transitionType=DocumentItem&amp;contextData=(sc.Default)#co_pp_7952000083371" TargetMode="External"/><Relationship Id="r266" Type="http://schemas.openxmlformats.org/officeDocument/2006/relationships/hyperlink" Target="https://www.westlaw.com/Link/Document/FullText?findType=Y&amp;serNum=2019229185&amp;pubNum=0000506&amp;originatingDoc=I2dae19d0521b11e98335c7ebe72735f9&amp;refType=RP&amp;fi=co_pp_sp_506_1197&amp;originationContext=document&amp;vr=3.0&amp;rs=cblt1.0&amp;transitionType=DocumentItem&amp;contextData=(sc.Default)#co_pp_sp_506_1197" TargetMode="External"/></Relationships>
</file>

<file path=_rels/footer1.xml.rels><?xml version="1.0" encoding="UTF-8"?>
<Relationships xmlns="http://schemas.openxmlformats.org/package/2006/relationships">
  <Relationship Id="r1"
    Type="http://schemas.openxmlformats.org/officeDocument/2006/relationships/image"
    Target="images/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8BE6C71F35448BF976E5ACB2356F2" ma:contentTypeVersion="16" ma:contentTypeDescription="Create a new document." ma:contentTypeScope="" ma:versionID="6f5658bd6c7e6b993d7561f580299cba">
  <xsd:schema xmlns:xsd="http://www.w3.org/2001/XMLSchema" xmlns:xs="http://www.w3.org/2001/XMLSchema" xmlns:p="http://schemas.microsoft.com/office/2006/metadata/properties" xmlns:ns2="08e3f554-c171-4e4d-b1a7-f09be500e921" xmlns:ns3="58f31e51-431e-43a4-871b-07ad4ce5a241" targetNamespace="http://schemas.microsoft.com/office/2006/metadata/properties" ma:root="true" ma:fieldsID="aad2826295481c8c1ca69b958d8257c9" ns2:_="" ns3:_="">
    <xsd:import namespace="08e3f554-c171-4e4d-b1a7-f09be500e921"/>
    <xsd:import namespace="58f31e51-431e-43a4-871b-07ad4ce5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f554-c171-4e4d-b1a7-f09be500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8d0cf9-6165-4a0b-a1ac-38776fa93c7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31e51-431e-43a4-871b-07ad4ce5a24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3e3aff-6577-4b80-b95f-93432cb1f3aa}" ma:internalName="TaxCatchAll" ma:showField="CatchAllData" ma:web="58f31e51-431e-43a4-871b-07ad4ce5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f31e51-431e-43a4-871b-07ad4ce5a241" xsi:nil="true"/>
    <lcf76f155ced4ddcb4097134ff3c332f xmlns="08e3f554-c171-4e4d-b1a7-f09be500e9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15AEED-BA6B-479E-AEFA-7CB4B896B03E}"/>
</file>

<file path=customXml/itemProps2.xml><?xml version="1.0" encoding="utf-8"?>
<ds:datastoreItem xmlns:ds="http://schemas.openxmlformats.org/officeDocument/2006/customXml" ds:itemID="{80234734-D994-4DE5-8DB0-0418961C1C81}"/>
</file>

<file path=customXml/itemProps3.xml><?xml version="1.0" encoding="utf-8"?>
<ds:datastoreItem xmlns:ds="http://schemas.openxmlformats.org/officeDocument/2006/customXml" ds:itemID="{7845E8F3-0D1D-4CD3-8731-D0F072831FA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0x010100A6F8BE6C71F35448BF976E5ACB2356F2</vt:lpwstr>
  </property>
</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2dae19d0521b11e98335c7ebe72735f9_Targe"/>
      <w:bookmarkEnd w:id="1"/>
    </w:p>
    <w:bookmarkEnd w:id="0"/>
    <w:bookmarkStart w:id="2" w:name="co_readingModeKC_1"/>
    <w:bookmarkStart w:id="3" w:name="co_readingModeCitatorFlag_1"/>
    <w:p>
      <w:pPr>
        <w:spacing w:before="0" w:after="0" w:line="235" w:lineRule="atLeast"/>
        <w:jc w:val="both"/>
      </w:pPr>
      <w:hyperlink r:id="r7">
        <w:r>
          <w:rPr>
            <w:rFonts w:ascii="Times New Roman" w:hAnsi="Times New Roman"/>
            <w:color w:val="006fc4"/>
            <w:sz w:val="30"/>
          </w:rPr>
          <w:drawing>
            <wp:inline>
              <wp:extent cx="161925" cy="161925"/>
              <wp:docPr id="1" name="Picture 1" descr="KeyCite Yellow Flag - Negative Treatment"/>
              <a:graphic>
                <a:graphicData uri="http://schemas.openxmlformats.org/drawingml/2006/picture">
                  <p:pic>
                    <p:nvPicPr>
                      <p:cNvPr id="2" name="Picture 1" descr="KeyCite Yellow Flag - Negative Treatment"/>
                      <p:cNvPicPr/>
                    </p:nvPicPr>
                    <p:blipFill>
                      <a:blip r:embed="r8"/>
                      <a:srcRect/>
                      <a:stretch>
                        <a:fillRect/>
                      </a:stretch>
                    </p:blipFill>
                    <p:spPr>
                      <a:xfrm>
                        <a:off x="0" y="0"/>
                        <a:ext cx="161925" cy="161925"/>
                      </a:xfrm>
                      <a:prstGeom prst="rect"/>
                    </p:spPr>
                  </p:pic>
                </a:graphicData>
              </a:graphic>
            </wp:inline>
          </w:drawing>
        </w:r>
      </w:hyperlink>
      <w:r>
        <w:rPr>
          <w:rFonts w:ascii="Times New Roman" w:hAnsi="Times New Roman"/>
          <w:color w:val="1f1f1f"/>
          <w:sz w:val="16"/>
        </w:rPr>
        <w:t>KeyCite Yellow Flag - Negative Treatment</w:t>
      </w:r>
    </w:p>
    <w:bookmarkEnd w:id="3"/>
    <w:bookmarkEnd w:id="2"/>
    <w:bookmarkStart w:id="4" w:name="co_readingModeNegativeTreatment_1"/>
    <w:p>
      <w:pPr>
        <w:spacing w:before="0" w:after="0" w:line="235" w:lineRule="atLeast"/>
        <w:ind w:left="0" w:right="0" w:hanging="300"/>
        <w:jc w:val="both"/>
      </w:pPr>
      <w:r>
        <w:rPr>
          <w:rFonts w:ascii="Times New Roman" w:hAnsi="Times New Roman"/>
          <w:color w:val="1f1f1f"/>
          <w:sz w:val="16"/>
        </w:rPr>
        <w:t> </w:t>
      </w:r>
      <w:r>
        <w:rPr>
          <w:rFonts w:ascii="Times New Roman" w:hAnsi="Times New Roman"/>
          <w:color w:val="1f1f1f"/>
          <w:sz w:val="16"/>
        </w:rPr>
        <w:tab/>
      </w:r>
      <w:r>
        <w:rPr>
          <w:rFonts w:ascii="Times New Roman" w:hAnsi="Times New Roman"/>
          <w:color w:val="1f1f1f"/>
          <w:sz w:val="16"/>
        </w:rPr>
        <w:t xml:space="preserve">Disagreed With by </w:t>
      </w:r>
      <w:hyperlink r:id="r9">
        <w:r>
          <w:rPr>
            <w:rFonts w:ascii="Times New Roman" w:hAnsi="Times New Roman"/>
            <w:color w:val="006fc4"/>
            <w:sz w:val="16"/>
          </w:rPr>
          <w:t>Martinez v. Cot'n Wash, Inc.</w:t>
        </w:r>
        <w:r>
          <w:rPr>
            <w:rFonts w:ascii="Times New Roman" w:hAnsi="Times New Roman"/>
            <w:color w:val="006fc4"/>
            <w:sz w:val="16"/>
          </w:rPr>
          <w:t xml:space="preserve">, </w:t>
        </w:r>
      </w:hyperlink>
      <w:r>
        <w:rPr>
          <w:rFonts w:ascii="Times New Roman" w:hAnsi="Times New Roman"/>
          <w:color w:val="1f1f1f"/>
          <w:sz w:val="16"/>
        </w:rPr>
        <w:t xml:space="preserve">Cal.App. 2 Dist., </w:t>
      </w:r>
      <w:r>
        <w:rPr>
          <w:rFonts w:ascii="Times New Roman" w:hAnsi="Times New Roman"/>
          <w:color w:val="1f1f1f"/>
          <w:sz w:val="16"/>
        </w:rPr>
        <w:t>August 1, 2022</w:t>
      </w:r>
    </w:p>
    <w:bookmarkEnd w:id="4"/>
    <w:p>
      <w:pPr>
        <w:spacing w:before="180" w:after="0" w:line="275" w:lineRule="atLeast"/>
        <w:jc w:val="center"/>
      </w:pPr>
      <w:r>
        <w:rPr>
          <w:rFonts w:ascii="Georgia" w:hAnsi="Georgia"/>
          <w:color w:val="1f1f1f"/>
          <w:sz w:val="20"/>
        </w:rPr>
        <w:t>377 F.Supp.3d 49</w:t>
      </w:r>
    </w:p>
    <w:p>
      <w:pPr>
        <w:spacing w:before="0" w:after="0" w:line="275" w:lineRule="atLeast"/>
        <w:jc w:val="center"/>
      </w:pPr>
      <w:r>
        <w:rPr>
          <w:rFonts w:ascii="Georgia" w:hAnsi="Georgia"/>
          <w:color w:val="1f1f1f"/>
          <w:sz w:val="20"/>
        </w:rPr>
        <w:t>United States District Court, D. Massachusetts.</w:t>
      </w:r>
    </w:p>
    <w:p>
      <w:pPr>
        <w:spacing w:before="200" w:after="0" w:line="300" w:lineRule="atLeast"/>
        <w:ind w:left="100" w:right="100" w:firstLine="0"/>
        <w:jc w:val="center"/>
      </w:pPr>
      <w:r>
        <w:rPr>
          <w:rFonts w:ascii="Georgia" w:hAnsi="Georgia"/>
          <w:color w:val="212121"/>
          <w:sz w:val="20"/>
        </w:rPr>
        <w:t>NATIONAL ASSOCIATION OF THE DEAF, et al., Plaintiffs,</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r>
        <w:rPr>
          <w:rFonts w:ascii="Georgia" w:hAnsi="Georgia"/>
          <w:color w:val="212121"/>
          <w:sz w:val="20"/>
        </w:rPr>
        <w:t>HARVARD UNIVERSITY, and the President and Fellows of Harvard College, Defendants.</w:t>
      </w:r>
    </w:p>
    <w:p>
      <w:pPr>
        <w:pBdr>
          <w:left w:val="none" w:space="8"/>
        </w:pBdr>
        <w:spacing w:before="200" w:after="0" w:line="275" w:lineRule="atLeast"/>
        <w:ind w:left="150" w:right="0" w:firstLine="0"/>
        <w:jc w:val="center"/>
      </w:pPr>
      <w:r>
        <w:rPr>
          <w:rFonts w:ascii="Georgia" w:hAnsi="Georgia"/>
          <w:color w:val="1f1f1f"/>
          <w:sz w:val="20"/>
        </w:rPr>
        <w:t>Case No. 3:15-cv-30023-KAR</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Signed 03/28/2019</w:t>
      </w:r>
    </w:p>
    <w:bookmarkStart w:id="5" w:name="co_synopsis_1"/>
    <w:p>
      <w:pPr>
        <w:keepNext/>
        <w:keepLines/>
        <w:spacing w:before="600" w:after="0" w:line="275" w:lineRule="atLeast"/>
        <w:jc w:val="both"/>
      </w:pPr>
      <w:r>
        <w:rPr>
          <w:rFonts w:ascii="Times New Roman" w:hAnsi="Times New Roman"/>
          <w:b/>
          <w:color w:val="212121"/>
          <w:sz w:val="20"/>
        </w:rPr>
        <w:t>Synopsis</w:t>
      </w:r>
    </w:p>
    <w:bookmarkEnd w:id="5"/>
    <w:p>
      <w:pPr>
        <w:spacing w:before="0" w:after="0" w:line="275" w:lineRule="atLeast"/>
        <w:jc w:val="both"/>
      </w:pPr>
      <w:r>
        <w:rPr>
          <w:rFonts w:ascii="Times New Roman" w:hAnsi="Times New Roman"/>
          <w:b/>
          <w:color w:val="1f1f1f"/>
          <w:sz w:val="20"/>
        </w:rPr>
        <w:t>Background:</w:t>
      </w:r>
      <w:r>
        <w:rPr>
          <w:rFonts w:ascii="Times New Roman" w:hAnsi="Times New Roman"/>
          <w:color w:val="1f1f1f"/>
          <w:sz w:val="20"/>
        </w:rPr>
        <w:t xml:space="preserve"> Disability advocacy group sued university under Title III of Americans with Disabilities Act (ADA) and Section 504 of Rehabilitation Act, alleging that university's failure to provide accurate and timely captioning of online audiovisual content hosted by university website and third-party websites constituted discrimination against deaf persons. University moved for judgment on the pleadings.</w:t>
      </w:r>
    </w:p>
    <w:p>
      <w:pPr>
        <w:spacing w:before="0" w:after="0" w:line="275" w:lineRule="atLeast"/>
        <w:jc w:val="both"/>
      </w:pPr>
      <w:r>
        <w:rPr>
          <w:rFonts w:ascii="Times New Roman" w:hAnsi="Times New Roman"/>
          <w:color w:val="1f1f1f"/>
          <w:sz w:val="20"/>
        </w:rPr>
        <w:t> </w:t>
      </w:r>
    </w:p>
    <w:p>
      <w:pPr>
        <w:spacing w:before="400" w:after="0" w:line="275" w:lineRule="atLeast"/>
        <w:jc w:val="both"/>
      </w:pPr>
      <w:r>
        <w:rPr>
          <w:rFonts w:ascii="Times New Roman" w:hAnsi="Times New Roman"/>
          <w:b/>
          <w:color w:val="1f1f1f"/>
          <w:sz w:val="20"/>
        </w:rPr>
        <w:t>Holdings:</w:t>
      </w:r>
      <w:r>
        <w:rPr>
          <w:rFonts w:ascii="Times New Roman" w:hAnsi="Times New Roman"/>
          <w:color w:val="1f1f1f"/>
          <w:sz w:val="20"/>
        </w:rPr>
        <w:t xml:space="preserve"> The District Court, </w:t>
      </w:r>
      <w:hyperlink r:id="r10">
        <w:r>
          <w:rPr>
            <w:rFonts w:ascii="Times New Roman" w:hAnsi="Times New Roman"/>
            <w:color w:val="006fc4"/>
            <w:sz w:val="20"/>
          </w:rPr>
          <w:t>Katherine A. Robertson</w:t>
        </w:r>
      </w:hyperlink>
      <w:r>
        <w:rPr>
          <w:rFonts w:ascii="Times New Roman" w:hAnsi="Times New Roman"/>
          <w:color w:val="1f1f1f"/>
          <w:sz w:val="20"/>
        </w:rPr>
        <w:t>, United States Magistrate Judge, held that: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82047886627_1">
        <w:r>
          <w:rPr>
            <w:rFonts w:ascii="Times New Roman" w:hAnsi="Times New Roman"/>
            <w:color w:val="006fc4"/>
            <w:sz w:val="20"/>
            <w:vertAlign w:val="superscript"/>
          </w:rPr>
          <w:t>[1]</w:t>
        </w:r>
      </w:hyperlink>
      <w:r>
        <w:rPr>
          <w:rFonts w:ascii="Times New Roman" w:hAnsi="Times New Roman"/>
          <w:color w:val="1f1f1f"/>
          <w:sz w:val="20"/>
        </w:rPr>
        <w:t xml:space="preserve"> nexus to physical place was not required for liability under ADA;</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02047886627_1">
        <w:r>
          <w:rPr>
            <w:rFonts w:ascii="Times New Roman" w:hAnsi="Times New Roman"/>
            <w:color w:val="006fc4"/>
            <w:sz w:val="20"/>
            <w:vertAlign w:val="superscript"/>
          </w:rPr>
          <w:t>[2]</w:t>
        </w:r>
      </w:hyperlink>
      <w:r>
        <w:rPr>
          <w:rFonts w:ascii="Times New Roman" w:hAnsi="Times New Roman"/>
          <w:color w:val="1f1f1f"/>
          <w:sz w:val="20"/>
        </w:rPr>
        <w:t xml:space="preserve"> advocacy group adequately pleaded claim under Rehabilitation Act;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22047886627_1">
        <w:r>
          <w:rPr>
            <w:rFonts w:ascii="Times New Roman" w:hAnsi="Times New Roman"/>
            <w:color w:val="006fc4"/>
            <w:sz w:val="20"/>
            <w:vertAlign w:val="superscript"/>
          </w:rPr>
          <w:t>[3]</w:t>
        </w:r>
      </w:hyperlink>
      <w:r>
        <w:rPr>
          <w:rFonts w:ascii="Times New Roman" w:hAnsi="Times New Roman"/>
          <w:color w:val="1f1f1f"/>
          <w:sz w:val="20"/>
        </w:rPr>
        <w:t xml:space="preserve"> content hosted by third-party websites was subject to ADA and Rehabilitation Act;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92047886627_1">
        <w:r>
          <w:rPr>
            <w:rFonts w:ascii="Times New Roman" w:hAnsi="Times New Roman"/>
            <w:color w:val="006fc4"/>
            <w:sz w:val="20"/>
            <w:vertAlign w:val="superscript"/>
          </w:rPr>
          <w:t>[4]</w:t>
        </w:r>
      </w:hyperlink>
      <w:r>
        <w:rPr>
          <w:rFonts w:ascii="Times New Roman" w:hAnsi="Times New Roman"/>
          <w:color w:val="1f1f1f"/>
          <w:sz w:val="20"/>
        </w:rPr>
        <w:t xml:space="preserve"> issue of immunity under Communications Decency Act (CDA) for content on university website could not be resolved on motion for judgment on pleadings; and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62047886627_1">
        <w:r>
          <w:rPr>
            <w:rFonts w:ascii="Times New Roman" w:hAnsi="Times New Roman"/>
            <w:color w:val="006fc4"/>
            <w:sz w:val="20"/>
            <w:vertAlign w:val="superscript"/>
          </w:rPr>
          <w:t>[5]</w:t>
        </w:r>
      </w:hyperlink>
      <w:r>
        <w:rPr>
          <w:rFonts w:ascii="Times New Roman" w:hAnsi="Times New Roman"/>
          <w:color w:val="1f1f1f"/>
          <w:sz w:val="20"/>
        </w:rPr>
        <w:t xml:space="preserve"> university was immune, under CDA, from claims challenging embedded third-party content.</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Motion granted in part and denied in part.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Procedural Posture(s):</w:t>
      </w:r>
      <w:r>
        <w:rPr>
          <w:rFonts w:ascii="Times New Roman" w:hAnsi="Times New Roman"/>
          <w:color w:val="1f1f1f"/>
          <w:sz w:val="20"/>
        </w:rPr>
        <w:t xml:space="preserve"> Motion for Judgment on the Pleadings.</w:t>
      </w:r>
    </w:p>
    <w:bookmarkStart w:id="6" w:name="co_headnotes_1"/>
    <w:bookmarkStart w:id="7"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(26)</w:t>
      </w:r>
    </w:p>
    <w:bookmarkEnd w:id="7"/>
    <w:bookmarkEnd w:id="6"/>
    <w:p>
      <w:pPr>
        <w:spacing w:before="0" w:after="0" w:line="240" w:lineRule="auto"/>
        <w:rPr>
          <w:sz w:val="20"/>
        </w:rPr>
      </w:pPr>
    </w:p>
    <w:tbl>
      <w:tblPr>
        <w:tblInd w:w="30" w:type="dxa"/>
        <w:tblLayout w:type="fixed"/>
      </w:tblPr>
      <w:tblGrid>
        <w:gridCol w:w="600"/>
        <w:gridCol w:w="9450"/>
      </w:tblGrid>
      <w:bookmarkStart w:id="8" w:name="co_expandedHeadnotes_1"/>
      <w:bookmarkStart w:id="9" w:name="co_anchor_2047886627001_1"/>
      <w:bookmarkStart w:id="10" w:name="Athens_headnoteCell_F12047886627_1"/>
      <w:bookmarkStart w:id="11" w:name="co_headnotesTable_1"/>
      <w:tr>
        <w:tblPrEx/>
        <w:trPr/>
        <w:tc>
          <w:tcPr>
            <w:tcMar>
              <w:left w:w="30" w:type="dxa"/>
              <w:right w:w="30" w:type="dxa"/>
            </w:tcMar>
            <w:vAlign w:val="top"/>
          </w:tcPr>
          <w:p>
            <w:pPr>
              <w:spacing w:before="0" w:after="0" w:line="275" w:lineRule="atLeast"/>
            </w:pPr>
            <w:bookmarkStart w:id="12" w:name="co_anchor_F12047886627_1"/>
            <w:bookmarkStart w:id="13" w:name="co_anchor_headNote_[1]_1"/>
            <w:hyperlink w:anchor="co_pp_HNF1_1">
              <w:r>
                <w:rPr>
                  <w:rFonts w:ascii="Times New Roman" w:hAnsi="Times New Roman"/>
                  <w:b/>
                  <w:color w:val="006fc4"/>
                  <w:sz w:val="20"/>
                  <w:vertAlign w:val="superscript"/>
                </w:rPr>
                <w:t>[1]</w:t>
              </w:r>
            </w:hyperlink>
            <w:bookmarkEnd w:id="13"/>
            <w:bookmarkEnd w:id="12"/>
          </w:p>
        </w:tc>
        <w:tc>
          <w:tcPr>
            <w:tcMar>
              <w:left w:w="30" w:type="dxa"/>
              <w:right w:w="30" w:type="dxa"/>
            </w:tcMar>
            <w:vAlign w:val="top"/>
          </w:tcPr>
          <w:p>
            <w:pPr>
              <w:pBdr>
                <w:bottom w:val="none" w:space="2"/>
              </w:pBdr>
              <w:spacing w:before="0" w:after="0" w:line="275" w:lineRule="atLeast"/>
            </w:pPr>
            <w:hyperlink r:id="r11">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3" name="Picture 2" descr="Display Key Number Topics"/>
                  <a:graphic>
                    <a:graphicData uri="http://schemas.openxmlformats.org/drawingml/2006/picture">
                      <p:pic>
                        <p:nvPicPr>
                          <p:cNvPr id="4" name="Picture 2" descr="Display Key Number Topics"/>
                          <p:cNvPicPr/>
                        </p:nvPicPr>
                        <p:blipFill>
                          <a:blip r:embed="r13"/>
                          <a:srcRect/>
                          <a:stretch>
                            <a:fillRect/>
                          </a:stretch>
                        </p:blipFill>
                        <p:spPr>
                          <a:xfrm>
                            <a:off x="0" y="0"/>
                            <a:ext cx="133350" cy="76200"/>
                          </a:xfrm>
                          <a:prstGeom prst="rect"/>
                        </p:spPr>
                      </p:pic>
                    </a:graphicData>
                  </a:graphic>
                </wp:inline>
              </w:drawing>
            </w:r>
            <w:hyperlink r:id="r12">
              <w:r>
                <w:rPr>
                  <w:rFonts w:ascii="Times New Roman" w:hAnsi="Times New Roman"/>
                  <w:color w:val="006fc4"/>
                  <w:sz w:val="20"/>
                </w:rPr>
                <w:t>Failure to reply</w:t>
              </w:r>
            </w:hyperlink>
          </w:p>
        </w:tc>
      </w:tr>
      <w:bookmarkEnd w:id="11"/>
      <w:bookmarkEnd w:id="10"/>
      <w:bookmarkEnd w:id="9"/>
      <w:bookmarkEnd w:id="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Any new facts contained in an answer, to which no responsive pleading by the plaintiff is required, are deemed denied.</w:t>
            </w:r>
          </w:p>
        </w:tc>
      </w:tr>
    </w:tbl>
    <w:p>
      <w:pPr>
        <w:spacing w:before="0" w:after="0" w:line="240" w:lineRule="auto"/>
        <w:rPr>
          <w:sz w:val="20"/>
        </w:rPr>
      </w:pPr>
    </w:p>
    <w:tbl>
      <w:tblPr>
        <w:tblInd w:w="30" w:type="dxa"/>
        <w:tblLayout w:type="fixed"/>
      </w:tblPr>
      <w:tblGrid>
        <w:gridCol w:w="600"/>
        <w:gridCol w:w="9450"/>
      </w:tblGrid>
      <w:bookmarkStart w:id="14" w:name="co_headnoteId_2047886627001202307282142"/>
      <w:bookmarkStart w:id="15" w:name="co_anchor_2047886627002_1"/>
      <w:bookmarkStart w:id="16" w:name="Athens_headnoteCell_F22047886627_1"/>
      <w:bookmarkStart w:id="17" w:name="co_headnotesTable_0_1"/>
      <w:tr>
        <w:tblPrEx/>
        <w:trPr/>
        <w:tc>
          <w:tcPr>
            <w:tcMar>
              <w:left w:w="30" w:type="dxa"/>
              <w:right w:w="30" w:type="dxa"/>
            </w:tcMar>
            <w:vAlign w:val="top"/>
          </w:tcPr>
          <w:p>
            <w:pPr>
              <w:spacing w:before="0" w:after="0" w:line="275" w:lineRule="atLeast"/>
            </w:pPr>
            <w:bookmarkStart w:id="18" w:name="co_anchor_F22047886627_1"/>
            <w:bookmarkStart w:id="19" w:name="co_anchor_headNote_[2]_1"/>
            <w:hyperlink w:anchor="co_pp_HNF2_1">
              <w:r>
                <w:rPr>
                  <w:rFonts w:ascii="Times New Roman" w:hAnsi="Times New Roman"/>
                  <w:b/>
                  <w:color w:val="006fc4"/>
                  <w:sz w:val="20"/>
                  <w:vertAlign w:val="superscript"/>
                </w:rPr>
                <w:t>[2]</w:t>
              </w:r>
            </w:hyperlink>
            <w:bookmarkEnd w:id="19"/>
            <w:bookmarkEnd w:id="18"/>
          </w:p>
        </w:tc>
        <w:tc>
          <w:tcPr>
            <w:tcMar>
              <w:left w:w="30" w:type="dxa"/>
              <w:right w:w="30" w:type="dxa"/>
            </w:tcMar>
            <w:vAlign w:val="top"/>
          </w:tcPr>
          <w:p>
            <w:pPr>
              <w:pBdr>
                <w:bottom w:val="none" w:space="2"/>
              </w:pBdr>
              <w:spacing w:before="0" w:after="0" w:line="275" w:lineRule="atLeast"/>
            </w:pPr>
            <w:hyperlink r:id="r14">
              <w:r>
                <w:rPr>
                  <w:rFonts w:ascii="Times New Roman" w:hAnsi="Times New Roman"/>
                  <w:b/>
                  <w:color w:val="006fc4"/>
                  <w:sz w:val="20"/>
                </w:rPr>
                <w:t>Civil Rights</w:t>
              </w:r>
            </w:hyperlink>
            <w:r>
              <w:rPr>
                <w:rFonts w:ascii="Times New Roman" w:hAnsi="Times New Roman"/>
                <w:color w:val="1f1f1f"/>
                <w:sz w:val="20"/>
              </w:rPr>
              <w:drawing>
                <wp:inline>
                  <wp:extent cx="133350" cy="76200"/>
                  <wp:docPr id="5" name="Picture 2" descr="Display Key Number Topics"/>
                  <a:graphic>
                    <a:graphicData uri="http://schemas.openxmlformats.org/drawingml/2006/picture">
                      <p:pic>
                        <p:nvPicPr>
                          <p:cNvPr id="6" name="Picture 2" descr="Display Key Number Topics"/>
                          <p:cNvPicPr/>
                        </p:nvPicPr>
                        <p:blipFill>
                          <a:blip r:embed="r13"/>
                          <a:srcRect/>
                          <a:stretch>
                            <a:fillRect/>
                          </a:stretch>
                        </p:blipFill>
                        <p:spPr>
                          <a:xfrm>
                            <a:off x="0" y="0"/>
                            <a:ext cx="133350" cy="76200"/>
                          </a:xfrm>
                          <a:prstGeom prst="rect"/>
                        </p:spPr>
                      </p:pic>
                    </a:graphicData>
                  </a:graphic>
                </wp:inline>
              </w:drawing>
            </w:r>
            <w:hyperlink r:id="r15">
              <w:r>
                <w:rPr>
                  <w:rFonts w:ascii="Times New Roman" w:hAnsi="Times New Roman"/>
                  <w:color w:val="006fc4"/>
                  <w:sz w:val="20"/>
                </w:rPr>
                <w:t>Handicap, Disability, or Illness</w:t>
              </w:r>
            </w:hyperlink>
          </w:p>
        </w:tc>
      </w:tr>
      <w:bookmarkEnd w:id="17"/>
      <w:bookmarkEnd w:id="16"/>
      <w:bookmarkEnd w:id="15"/>
      <w:bookmarkEnd w:id="1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It is the purpose of both the ADA and the Rehabilitation Act to provide a coherent framework and consistent and enforceable standards for the elimination of discrimination against persons with disabilities. Rehabilitation Act of 1973, § 2 et seq., </w:t>
            </w:r>
            <w:hyperlink r:id="r16">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et seq., </w:t>
            </w:r>
            <w:hyperlink r:id="r17">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20" w:name="co_headnoteId_2047886627002202307282142"/>
      <w:bookmarkStart w:id="21" w:name="co_anchor_2047886627004_1"/>
      <w:bookmarkStart w:id="22" w:name="Athens_headnoteCell_F32047886627_1"/>
      <w:bookmarkStart w:id="23" w:name="co_headnotesTable_1_1"/>
      <w:tr>
        <w:tblPrEx/>
        <w:trPr/>
        <w:tc>
          <w:tcPr>
            <w:tcMar>
              <w:left w:w="30" w:type="dxa"/>
              <w:right w:w="30" w:type="dxa"/>
            </w:tcMar>
            <w:vAlign w:val="top"/>
          </w:tcPr>
          <w:p>
            <w:pPr>
              <w:spacing w:before="0" w:after="0" w:line="275" w:lineRule="atLeast"/>
            </w:pPr>
            <w:bookmarkStart w:id="24" w:name="co_anchor_F32047886627_1"/>
            <w:bookmarkStart w:id="25" w:name="co_anchor_headNote_[3]_1"/>
            <w:hyperlink w:anchor="co_pp_HNF3_1">
              <w:r>
                <w:rPr>
                  <w:rFonts w:ascii="Times New Roman" w:hAnsi="Times New Roman"/>
                  <w:b/>
                  <w:color w:val="006fc4"/>
                  <w:sz w:val="20"/>
                  <w:vertAlign w:val="superscript"/>
                </w:rPr>
                <w:t>[3]</w:t>
              </w:r>
            </w:hyperlink>
            <w:bookmarkEnd w:id="25"/>
            <w:bookmarkEnd w:id="24"/>
          </w:p>
        </w:tc>
        <w:tc>
          <w:tcPr>
            <w:tcMar>
              <w:left w:w="30" w:type="dxa"/>
              <w:right w:w="30" w:type="dxa"/>
            </w:tcMar>
            <w:vAlign w:val="top"/>
          </w:tcPr>
          <w:p>
            <w:pPr>
              <w:pBdr>
                <w:bottom w:val="none" w:space="2"/>
              </w:pBdr>
              <w:spacing w:before="0" w:after="0" w:line="275" w:lineRule="atLeast"/>
            </w:pPr>
            <w:hyperlink r:id="r18">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7" name="Picture 2" descr="Display Key Number Topics"/>
                  <a:graphic>
                    <a:graphicData uri="http://schemas.openxmlformats.org/drawingml/2006/picture">
                      <p:pic>
                        <p:nvPicPr>
                          <p:cNvPr id="8" name="Picture 2" descr="Display Key Number Topics"/>
                          <p:cNvPicPr/>
                        </p:nvPicPr>
                        <p:blipFill>
                          <a:blip r:embed="r13"/>
                          <a:srcRect/>
                          <a:stretch>
                            <a:fillRect/>
                          </a:stretch>
                        </p:blipFill>
                        <p:spPr>
                          <a:xfrm>
                            <a:off x="0" y="0"/>
                            <a:ext cx="133350" cy="76200"/>
                          </a:xfrm>
                          <a:prstGeom prst="rect"/>
                        </p:spPr>
                      </p:pic>
                    </a:graphicData>
                  </a:graphic>
                </wp:inline>
              </w:drawing>
            </w:r>
            <w:hyperlink r:id="r19">
              <w:r>
                <w:rPr>
                  <w:rFonts w:ascii="Times New Roman" w:hAnsi="Times New Roman"/>
                  <w:color w:val="006fc4"/>
                  <w:sz w:val="20"/>
                </w:rPr>
                <w:t>Judgment on the Pleadings</w:t>
              </w:r>
            </w:hyperlink>
          </w:p>
        </w:tc>
      </w:tr>
      <w:bookmarkEnd w:id="23"/>
      <w:bookmarkEnd w:id="22"/>
      <w:bookmarkEnd w:id="21"/>
      <w:bookmarkEnd w:id="2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motion for judgment on the pleadings bears a strong family resemblance to a motion to dismiss for failure to state a claim, and these two types of motions are treated in much the same way. </w:t>
            </w:r>
            <w:hyperlink r:id="r20">
              <w:r>
                <w:rPr>
                  <w:rFonts w:ascii="Times New Roman" w:hAnsi="Times New Roman"/>
                  <w:color w:val="006fc4"/>
                  <w:sz w:val="20"/>
                </w:rPr>
                <w:t>Fed. R. Civ. P. 12(b)(6), 12(c)</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6" w:name="co_headnoteId_2047886627004202307282142"/>
      <w:bookmarkStart w:id="27" w:name="co_anchor_2047886627005_1"/>
      <w:bookmarkStart w:id="28" w:name="Athens_headnoteCell_F42047886627_1"/>
      <w:bookmarkStart w:id="29" w:name="co_headnotesTable_2_1"/>
      <w:tr>
        <w:tblPrEx/>
        <w:trPr/>
        <w:tc>
          <w:tcPr>
            <w:tcMar>
              <w:left w:w="30" w:type="dxa"/>
              <w:right w:w="30" w:type="dxa"/>
            </w:tcMar>
            <w:vAlign w:val="top"/>
          </w:tcPr>
          <w:p>
            <w:pPr>
              <w:spacing w:before="0" w:after="0" w:line="275" w:lineRule="atLeast"/>
            </w:pPr>
            <w:bookmarkStart w:id="30" w:name="co_anchor_F42047886627_1"/>
            <w:bookmarkStart w:id="31" w:name="co_anchor_headNote_[4]_1"/>
            <w:hyperlink w:anchor="co_pp_HNF4_1">
              <w:r>
                <w:rPr>
                  <w:rFonts w:ascii="Times New Roman" w:hAnsi="Times New Roman"/>
                  <w:b/>
                  <w:color w:val="006fc4"/>
                  <w:sz w:val="20"/>
                  <w:vertAlign w:val="superscript"/>
                </w:rPr>
                <w:t>[4]</w:t>
              </w:r>
            </w:hyperlink>
            <w:bookmarkEnd w:id="31"/>
            <w:bookmarkEnd w:id="30"/>
          </w:p>
        </w:tc>
        <w:tc>
          <w:tcPr>
            <w:tcMar>
              <w:left w:w="30" w:type="dxa"/>
              <w:right w:w="30" w:type="dxa"/>
            </w:tcMar>
            <w:vAlign w:val="top"/>
          </w:tcPr>
          <w:p>
            <w:pPr>
              <w:pBdr>
                <w:bottom w:val="none" w:space="2"/>
              </w:pBdr>
              <w:spacing w:before="0" w:after="0" w:line="275" w:lineRule="atLeast"/>
            </w:pPr>
            <w:hyperlink r:id="r21">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9" name="Picture 2" descr="Display Key Number Topics"/>
                  <a:graphic>
                    <a:graphicData uri="http://schemas.openxmlformats.org/drawingml/2006/picture">
                      <p:pic>
                        <p:nvPicPr>
                          <p:cNvPr id="10" name="Picture 2" descr="Display Key Number Topics"/>
                          <p:cNvPicPr/>
                        </p:nvPicPr>
                        <p:blipFill>
                          <a:blip r:embed="r13"/>
                          <a:srcRect/>
                          <a:stretch>
                            <a:fillRect/>
                          </a:stretch>
                        </p:blipFill>
                        <p:spPr>
                          <a:xfrm>
                            <a:off x="0" y="0"/>
                            <a:ext cx="133350" cy="76200"/>
                          </a:xfrm>
                          <a:prstGeom prst="rect"/>
                        </p:spPr>
                      </p:pic>
                    </a:graphicData>
                  </a:graphic>
                </wp:inline>
              </w:drawing>
            </w:r>
            <w:hyperlink r:id="r22">
              <w:r>
                <w:rPr>
                  <w:rFonts w:ascii="Times New Roman" w:hAnsi="Times New Roman"/>
                  <w:color w:val="006fc4"/>
                  <w:sz w:val="20"/>
                </w:rPr>
                <w:t>Judgment on the Pleadings</w:t>
              </w:r>
            </w:hyperlink>
          </w:p>
        </w:tc>
      </w:tr>
      <w:bookmarkEnd w:id="29"/>
      <w:bookmarkEnd w:id="28"/>
      <w:bookmarkEnd w:id="27"/>
      <w:bookmarkEnd w:id="2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primary difference between a motion for judgment on the pleadings and a motion to dismiss for failure to state a claim is that a motion for judgment on the pleadings implicates the pleadings as a whole. </w:t>
            </w:r>
            <w:hyperlink r:id="r23">
              <w:r>
                <w:rPr>
                  <w:rFonts w:ascii="Times New Roman" w:hAnsi="Times New Roman"/>
                  <w:color w:val="006fc4"/>
                  <w:sz w:val="20"/>
                </w:rPr>
                <w:t>Fed. R. Civ. P. 12(b)(6), 12(c)</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32" w:name="co_headnoteId_2047886627005202307282142"/>
      <w:bookmarkStart w:id="33" w:name="co_anchor_2047886627006_1"/>
      <w:bookmarkStart w:id="34" w:name="Athens_headnoteCell_F52047886627_1"/>
      <w:bookmarkStart w:id="35" w:name="co_headnotesTable_3_1"/>
      <w:tr>
        <w:tblPrEx/>
        <w:trPr/>
        <w:tc>
          <w:tcPr>
            <w:tcMar>
              <w:left w:w="30" w:type="dxa"/>
              <w:right w:w="30" w:type="dxa"/>
            </w:tcMar>
            <w:vAlign w:val="top"/>
          </w:tcPr>
          <w:p>
            <w:pPr>
              <w:spacing w:before="0" w:after="0" w:line="275" w:lineRule="atLeast"/>
            </w:pPr>
            <w:bookmarkStart w:id="36" w:name="co_anchor_F52047886627_1"/>
            <w:bookmarkStart w:id="37" w:name="co_anchor_headNote_[5]_1"/>
            <w:hyperlink w:anchor="co_pp_HNF5_1">
              <w:r>
                <w:rPr>
                  <w:rFonts w:ascii="Times New Roman" w:hAnsi="Times New Roman"/>
                  <w:b/>
                  <w:color w:val="006fc4"/>
                  <w:sz w:val="20"/>
                  <w:vertAlign w:val="superscript"/>
                </w:rPr>
                <w:t>[5]</w:t>
              </w:r>
            </w:hyperlink>
            <w:bookmarkEnd w:id="37"/>
            <w:bookmarkEnd w:id="36"/>
          </w:p>
        </w:tc>
        <w:tc>
          <w:tcPr>
            <w:tcMar>
              <w:left w:w="30" w:type="dxa"/>
              <w:right w:w="30" w:type="dxa"/>
            </w:tcMar>
            <w:vAlign w:val="top"/>
          </w:tcPr>
          <w:p>
            <w:pPr>
              <w:pBdr>
                <w:bottom w:val="none" w:space="2"/>
              </w:pBdr>
              <w:spacing w:before="0" w:after="0" w:line="275" w:lineRule="atLeast"/>
            </w:pPr>
            <w:hyperlink r:id="r24">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1" name="Picture 2" descr="Display Key Number Topics"/>
                  <a:graphic>
                    <a:graphicData uri="http://schemas.openxmlformats.org/drawingml/2006/picture">
                      <p:pic>
                        <p:nvPicPr>
                          <p:cNvPr id="12" name="Picture 2" descr="Display Key Number Topics"/>
                          <p:cNvPicPr/>
                        </p:nvPicPr>
                        <p:blipFill>
                          <a:blip r:embed="r13"/>
                          <a:srcRect/>
                          <a:stretch>
                            <a:fillRect/>
                          </a:stretch>
                        </p:blipFill>
                        <p:spPr>
                          <a:xfrm>
                            <a:off x="0" y="0"/>
                            <a:ext cx="133350" cy="76200"/>
                          </a:xfrm>
                          <a:prstGeom prst="rect"/>
                        </p:spPr>
                      </p:pic>
                    </a:graphicData>
                  </a:graphic>
                </wp:inline>
              </w:drawing>
            </w:r>
            <w:hyperlink r:id="r25">
              <w:r>
                <w:rPr>
                  <w:rFonts w:ascii="Times New Roman" w:hAnsi="Times New Roman"/>
                  <w:color w:val="006fc4"/>
                  <w:sz w:val="20"/>
                </w:rPr>
                <w:t>Determination of Motion</w:t>
              </w:r>
            </w:hyperlink>
          </w:p>
        </w:tc>
      </w:tr>
      <w:bookmarkEnd w:id="35"/>
      <w:bookmarkEnd w:id="34"/>
      <w:bookmarkEnd w:id="33"/>
      <w:bookmarkEnd w:id="3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For purposes of ruling on a motion for judgment on the pleadings, a court must view the facts contained in the pleadings in the light most favorable to the nonmovant and draw all reasonable inferences therefrom to the nonmovant's behoof. </w:t>
            </w:r>
            <w:hyperlink r:id="r26">
              <w:r>
                <w:rPr>
                  <w:rFonts w:ascii="Times New Roman" w:hAnsi="Times New Roman"/>
                  <w:color w:val="006fc4"/>
                  <w:sz w:val="20"/>
                </w:rPr>
                <w:t>Fed. R. Civ. P. 12(c)</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38" w:name="co_headnoteId_2047886627006202307282142"/>
      <w:bookmarkStart w:id="39" w:name="co_anchor_2047886627007_1"/>
      <w:bookmarkStart w:id="40" w:name="Athens_headnoteCell_F62047886627_1"/>
      <w:bookmarkStart w:id="41" w:name="co_headnotesTable_4_1"/>
      <w:tr>
        <w:tblPrEx/>
        <w:trPr/>
        <w:tc>
          <w:tcPr>
            <w:tcMar>
              <w:left w:w="30" w:type="dxa"/>
              <w:right w:w="30" w:type="dxa"/>
            </w:tcMar>
            <w:vAlign w:val="top"/>
          </w:tcPr>
          <w:p>
            <w:pPr>
              <w:spacing w:before="0" w:after="0" w:line="275" w:lineRule="atLeast"/>
            </w:pPr>
            <w:bookmarkStart w:id="42" w:name="co_anchor_F62047886627_1"/>
            <w:bookmarkStart w:id="43" w:name="co_anchor_headNote_[6]_1"/>
            <w:hyperlink w:anchor="co_pp_HNF6_1">
              <w:r>
                <w:rPr>
                  <w:rFonts w:ascii="Times New Roman" w:hAnsi="Times New Roman"/>
                  <w:b/>
                  <w:color w:val="006fc4"/>
                  <w:sz w:val="20"/>
                  <w:vertAlign w:val="superscript"/>
                </w:rPr>
                <w:t>[6]</w:t>
              </w:r>
            </w:hyperlink>
            <w:bookmarkEnd w:id="43"/>
            <w:bookmarkEnd w:id="42"/>
          </w:p>
        </w:tc>
        <w:tc>
          <w:tcPr>
            <w:tcMar>
              <w:left w:w="30" w:type="dxa"/>
              <w:right w:w="30" w:type="dxa"/>
            </w:tcMar>
            <w:vAlign w:val="top"/>
          </w:tcPr>
          <w:p>
            <w:pPr>
              <w:pBdr>
                <w:bottom w:val="none" w:space="2"/>
              </w:pBdr>
              <w:spacing w:before="0" w:after="0" w:line="275" w:lineRule="atLeast"/>
            </w:pPr>
            <w:hyperlink r:id="r27">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3" name="Picture 2" descr="Display Key Number Topics"/>
                  <a:graphic>
                    <a:graphicData uri="http://schemas.openxmlformats.org/drawingml/2006/picture">
                      <p:pic>
                        <p:nvPicPr>
                          <p:cNvPr id="14" name="Picture 2" descr="Display Key Number Topics"/>
                          <p:cNvPicPr/>
                        </p:nvPicPr>
                        <p:blipFill>
                          <a:blip r:embed="r13"/>
                          <a:srcRect/>
                          <a:stretch>
                            <a:fillRect/>
                          </a:stretch>
                        </p:blipFill>
                        <p:spPr>
                          <a:xfrm>
                            <a:off x="0" y="0"/>
                            <a:ext cx="133350" cy="76200"/>
                          </a:xfrm>
                          <a:prstGeom prst="rect"/>
                        </p:spPr>
                      </p:pic>
                    </a:graphicData>
                  </a:graphic>
                </wp:inline>
              </w:drawing>
            </w:r>
            <w:hyperlink r:id="r28">
              <w:r>
                <w:rPr>
                  <w:rFonts w:ascii="Times New Roman" w:hAnsi="Times New Roman"/>
                  <w:color w:val="006fc4"/>
                  <w:sz w:val="20"/>
                </w:rPr>
                <w:t>Clear right to judgment</w:t>
              </w:r>
            </w:hyperlink>
          </w:p>
        </w:tc>
      </w:tr>
      <w:bookmarkEnd w:id="41"/>
      <w:bookmarkEnd w:id="40"/>
      <w:bookmarkEnd w:id="39"/>
      <w:bookmarkEnd w:id="3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Judgment on the pleadings should be allowed only if the properly considered facts conclusively establish that the movant is entitled to the relief sought. </w:t>
            </w:r>
            <w:hyperlink r:id="r29">
              <w:r>
                <w:rPr>
                  <w:rFonts w:ascii="Times New Roman" w:hAnsi="Times New Roman"/>
                  <w:color w:val="006fc4"/>
                  <w:sz w:val="20"/>
                </w:rPr>
                <w:t>Fed. R. Civ. P. 12(c)</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4" w:name="co_headnoteId_2047886627007202307282142"/>
      <w:bookmarkStart w:id="45" w:name="co_anchor_2047886627008_1"/>
      <w:bookmarkStart w:id="46" w:name="Athens_headnoteCell_F72047886627_1"/>
      <w:bookmarkStart w:id="47" w:name="co_headnotesTable_5_1"/>
      <w:tr>
        <w:tblPrEx/>
        <w:trPr/>
        <w:tc>
          <w:tcPr>
            <w:tcMar>
              <w:left w:w="30" w:type="dxa"/>
              <w:right w:w="30" w:type="dxa"/>
            </w:tcMar>
            <w:vAlign w:val="top"/>
          </w:tcPr>
          <w:p>
            <w:pPr>
              <w:spacing w:before="0" w:after="0" w:line="275" w:lineRule="atLeast"/>
            </w:pPr>
            <w:bookmarkStart w:id="48" w:name="co_anchor_F72047886627_1"/>
            <w:bookmarkStart w:id="49" w:name="co_anchor_headNote_[7]_1"/>
            <w:hyperlink w:anchor="co_pp_HNF7_1">
              <w:r>
                <w:rPr>
                  <w:rFonts w:ascii="Times New Roman" w:hAnsi="Times New Roman"/>
                  <w:b/>
                  <w:color w:val="006fc4"/>
                  <w:sz w:val="20"/>
                  <w:vertAlign w:val="superscript"/>
                </w:rPr>
                <w:t>[7]</w:t>
              </w:r>
            </w:hyperlink>
            <w:bookmarkEnd w:id="49"/>
            <w:bookmarkEnd w:id="48"/>
          </w:p>
        </w:tc>
        <w:tc>
          <w:tcPr>
            <w:tcMar>
              <w:left w:w="30" w:type="dxa"/>
              <w:right w:w="30" w:type="dxa"/>
            </w:tcMar>
            <w:vAlign w:val="top"/>
          </w:tcPr>
          <w:p>
            <w:pPr>
              <w:pBdr>
                <w:bottom w:val="none" w:space="2"/>
              </w:pBdr>
              <w:spacing w:before="0" w:after="0" w:line="275" w:lineRule="atLeast"/>
            </w:pPr>
            <w:hyperlink r:id="r30">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5" name="Picture 2" descr="Display Key Number Topics"/>
                  <a:graphic>
                    <a:graphicData uri="http://schemas.openxmlformats.org/drawingml/2006/picture">
                      <p:pic>
                        <p:nvPicPr>
                          <p:cNvPr id="16" name="Picture 2" descr="Display Key Number Topics"/>
                          <p:cNvPicPr/>
                        </p:nvPicPr>
                        <p:blipFill>
                          <a:blip r:embed="r13"/>
                          <a:srcRect/>
                          <a:stretch>
                            <a:fillRect/>
                          </a:stretch>
                        </p:blipFill>
                        <p:spPr>
                          <a:xfrm>
                            <a:off x="0" y="0"/>
                            <a:ext cx="133350" cy="76200"/>
                          </a:xfrm>
                          <a:prstGeom prst="rect"/>
                        </p:spPr>
                      </p:pic>
                    </a:graphicData>
                  </a:graphic>
                </wp:inline>
              </w:drawing>
            </w:r>
            <w:hyperlink r:id="r31">
              <w:r>
                <w:rPr>
                  <w:rFonts w:ascii="Times New Roman" w:hAnsi="Times New Roman"/>
                  <w:color w:val="006fc4"/>
                  <w:sz w:val="20"/>
                </w:rPr>
                <w:t>Clear right to judgment</w:t>
              </w:r>
            </w:hyperlink>
          </w:p>
          <w:p>
            <w:pPr>
              <w:pBdr>
                <w:bottom w:val="none" w:space="2"/>
              </w:pBdr>
              <w:spacing w:before="0" w:after="0" w:line="275" w:lineRule="atLeast"/>
            </w:pPr>
            <w:hyperlink r:id="r32">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7" name="Picture 2" descr="Display Key Number Topics"/>
                  <a:graphic>
                    <a:graphicData uri="http://schemas.openxmlformats.org/drawingml/2006/picture">
                      <p:pic>
                        <p:nvPicPr>
                          <p:cNvPr id="18" name="Picture 2" descr="Display Key Number Topics"/>
                          <p:cNvPicPr/>
                        </p:nvPicPr>
                        <p:blipFill>
                          <a:blip r:embed="r13"/>
                          <a:srcRect/>
                          <a:stretch>
                            <a:fillRect/>
                          </a:stretch>
                        </p:blipFill>
                        <p:spPr>
                          <a:xfrm>
                            <a:off x="0" y="0"/>
                            <a:ext cx="133350" cy="76200"/>
                          </a:xfrm>
                          <a:prstGeom prst="rect"/>
                        </p:spPr>
                      </p:pic>
                    </a:graphicData>
                  </a:graphic>
                </wp:inline>
              </w:drawing>
            </w:r>
            <w:hyperlink r:id="r33">
              <w:r>
                <w:rPr>
                  <w:rFonts w:ascii="Times New Roman" w:hAnsi="Times New Roman"/>
                  <w:color w:val="006fc4"/>
                  <w:sz w:val="20"/>
                </w:rPr>
                <w:t>Determination of Motion</w:t>
              </w:r>
            </w:hyperlink>
          </w:p>
        </w:tc>
      </w:tr>
      <w:bookmarkEnd w:id="47"/>
      <w:bookmarkEnd w:id="46"/>
      <w:bookmarkEnd w:id="45"/>
      <w:bookmarkEnd w:id="4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motion for judgment on the pleadings does not allow for any resolution of contested facts; rather, a court may enter judgment on the pleadings only if the uncontested and properly considered facts conclusively establish the movant's entitlement to a favorable judgment. </w:t>
            </w:r>
            <w:hyperlink r:id="r34">
              <w:r>
                <w:rPr>
                  <w:rFonts w:ascii="Times New Roman" w:hAnsi="Times New Roman"/>
                  <w:color w:val="006fc4"/>
                  <w:sz w:val="20"/>
                </w:rPr>
                <w:t>Fed. R. Civ. P. 12(c)</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50" w:name="co_headnoteId_2047886627008202307282142"/>
      <w:bookmarkStart w:id="51" w:name="co_anchor_2047886627010_1"/>
      <w:bookmarkStart w:id="52" w:name="Athens_headnoteCell_F82047886627_1"/>
      <w:bookmarkStart w:id="53" w:name="co_headnotesTable_6_1"/>
      <w:tr>
        <w:tblPrEx/>
        <w:trPr/>
        <w:tc>
          <w:tcPr>
            <w:tcMar>
              <w:left w:w="30" w:type="dxa"/>
              <w:right w:w="30" w:type="dxa"/>
            </w:tcMar>
            <w:vAlign w:val="top"/>
          </w:tcPr>
          <w:p>
            <w:pPr>
              <w:spacing w:before="0" w:after="0" w:line="275" w:lineRule="atLeast"/>
            </w:pPr>
            <w:bookmarkStart w:id="54" w:name="co_anchor_F82047886627_1"/>
            <w:bookmarkStart w:id="55" w:name="co_anchor_headNote_[8]_1"/>
            <w:hyperlink w:anchor="co_pp_HNF8_1">
              <w:r>
                <w:rPr>
                  <w:rFonts w:ascii="Times New Roman" w:hAnsi="Times New Roman"/>
                  <w:b/>
                  <w:color w:val="006fc4"/>
                  <w:sz w:val="20"/>
                  <w:vertAlign w:val="superscript"/>
                </w:rPr>
                <w:t>[8]</w:t>
              </w:r>
            </w:hyperlink>
            <w:bookmarkEnd w:id="55"/>
            <w:bookmarkEnd w:id="54"/>
          </w:p>
        </w:tc>
        <w:tc>
          <w:tcPr>
            <w:tcMar>
              <w:left w:w="30" w:type="dxa"/>
              <w:right w:w="30" w:type="dxa"/>
            </w:tcMar>
            <w:vAlign w:val="top"/>
          </w:tcPr>
          <w:p>
            <w:pPr>
              <w:pBdr>
                <w:bottom w:val="none" w:space="2"/>
              </w:pBdr>
              <w:spacing w:before="0" w:after="0" w:line="275" w:lineRule="atLeast"/>
            </w:pPr>
            <w:hyperlink r:id="r35">
              <w:r>
                <w:rPr>
                  <w:rFonts w:ascii="Times New Roman" w:hAnsi="Times New Roman"/>
                  <w:b/>
                  <w:color w:val="006fc4"/>
                  <w:sz w:val="20"/>
                </w:rPr>
                <w:t>Civil Rights</w:t>
              </w:r>
            </w:hyperlink>
            <w:r>
              <w:rPr>
                <w:rFonts w:ascii="Times New Roman" w:hAnsi="Times New Roman"/>
                <w:color w:val="1f1f1f"/>
                <w:sz w:val="20"/>
              </w:rPr>
              <w:drawing>
                <wp:inline>
                  <wp:extent cx="133350" cy="76200"/>
                  <wp:docPr id="19" name="Picture 2" descr="Display Key Number Topics"/>
                  <a:graphic>
                    <a:graphicData uri="http://schemas.openxmlformats.org/drawingml/2006/picture">
                      <p:pic>
                        <p:nvPicPr>
                          <p:cNvPr id="20" name="Picture 2" descr="Display Key Number Topics"/>
                          <p:cNvPicPr/>
                        </p:nvPicPr>
                        <p:blipFill>
                          <a:blip r:embed="r13"/>
                          <a:srcRect/>
                          <a:stretch>
                            <a:fillRect/>
                          </a:stretch>
                        </p:blipFill>
                        <p:spPr>
                          <a:xfrm>
                            <a:off x="0" y="0"/>
                            <a:ext cx="133350" cy="76200"/>
                          </a:xfrm>
                          <a:prstGeom prst="rect"/>
                        </p:spPr>
                      </p:pic>
                    </a:graphicData>
                  </a:graphic>
                </wp:inline>
              </w:drawing>
            </w:r>
            <w:hyperlink r:id="r36">
              <w:r>
                <w:rPr>
                  <w:rFonts w:ascii="Times New Roman" w:hAnsi="Times New Roman"/>
                  <w:color w:val="006fc4"/>
                  <w:sz w:val="20"/>
                </w:rPr>
                <w:t>Discrimination by reason of handicap, disability, or illness</w:t>
              </w:r>
            </w:hyperlink>
          </w:p>
          <w:p>
            <w:pPr>
              <w:pBdr>
                <w:bottom w:val="none" w:space="2"/>
              </w:pBdr>
              <w:spacing w:before="0" w:after="0" w:line="275" w:lineRule="atLeast"/>
            </w:pPr>
            <w:hyperlink r:id="r37">
              <w:r>
                <w:rPr>
                  <w:rFonts w:ascii="Times New Roman" w:hAnsi="Times New Roman"/>
                  <w:b/>
                  <w:color w:val="006fc4"/>
                  <w:sz w:val="20"/>
                </w:rPr>
                <w:t>Civil Rights</w:t>
              </w:r>
            </w:hyperlink>
            <w:r>
              <w:rPr>
                <w:rFonts w:ascii="Times New Roman" w:hAnsi="Times New Roman"/>
                <w:color w:val="1f1f1f"/>
                <w:sz w:val="20"/>
              </w:rPr>
              <w:drawing>
                <wp:inline>
                  <wp:extent cx="133350" cy="76200"/>
                  <wp:docPr id="21" name="Picture 2" descr="Display Key Number Topics"/>
                  <a:graphic>
                    <a:graphicData uri="http://schemas.openxmlformats.org/drawingml/2006/picture">
                      <p:pic>
                        <p:nvPicPr>
                          <p:cNvPr id="22" name="Picture 2" descr="Display Key Number Topics"/>
                          <p:cNvPicPr/>
                        </p:nvPicPr>
                        <p:blipFill>
                          <a:blip r:embed="r13"/>
                          <a:srcRect/>
                          <a:stretch>
                            <a:fillRect/>
                          </a:stretch>
                        </p:blipFill>
                        <p:spPr>
                          <a:xfrm>
                            <a:off x="0" y="0"/>
                            <a:ext cx="133350" cy="76200"/>
                          </a:xfrm>
                          <a:prstGeom prst="rect"/>
                        </p:spPr>
                      </p:pic>
                    </a:graphicData>
                  </a:graphic>
                </wp:inline>
              </w:drawing>
            </w:r>
            <w:hyperlink r:id="r38">
              <w:r>
                <w:rPr>
                  <w:rFonts w:ascii="Times New Roman" w:hAnsi="Times New Roman"/>
                  <w:color w:val="006fc4"/>
                  <w:sz w:val="20"/>
                </w:rPr>
                <w:t>Discrimination by reason of handicap, disability, or illness</w:t>
              </w:r>
            </w:hyperlink>
          </w:p>
        </w:tc>
      </w:tr>
      <w:bookmarkEnd w:id="53"/>
      <w:bookmarkEnd w:id="52"/>
      <w:bookmarkEnd w:id="51"/>
      <w:bookmarkEnd w:id="5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Online audiovisual content hosted by university website, including video recordings of class lectures made freely available to general public, was subject to antidiscrimination requirements in Title III of ADA, notwithstanding any lack of nexus to physical place, and regardless of whether audiovisual content originated with third party, where university was public accommodation and recipient of federal funds. Americans with Disabilities Act of 1990 § 302, </w:t>
            </w:r>
            <w:hyperlink r:id="r39">
              <w:r>
                <w:rPr>
                  <w:rFonts w:ascii="Times New Roman" w:hAnsi="Times New Roman"/>
                  <w:color w:val="006fc4"/>
                  <w:sz w:val="20"/>
                </w:rPr>
                <w:t>42 U.S.C.A. § 12182(a)</w:t>
              </w:r>
            </w:hyperlink>
            <w:r>
              <w:rPr>
                <w:rFonts w:ascii="Times New Roman" w:hAnsi="Times New Roman"/>
                <w:color w:val="1f1f1f"/>
                <w:sz w:val="20"/>
              </w:rPr>
              <w:t xml:space="preserve">; </w:t>
            </w:r>
            <w:hyperlink r:id="r40">
              <w:r>
                <w:rPr>
                  <w:rFonts w:ascii="Times New Roman" w:hAnsi="Times New Roman"/>
                  <w:color w:val="006fc4"/>
                  <w:sz w:val="20"/>
                </w:rPr>
                <w:t>28 C.F.R. § 36.303(a)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56" w:name="co_headnoteId_2047886627010202307282142"/>
      <w:bookmarkStart w:id="57" w:name="co_anchor_2047886627009_1"/>
      <w:bookmarkStart w:id="58" w:name="Athens_headnoteCell_F92047886627_1"/>
      <w:bookmarkStart w:id="59" w:name="co_headnotesTable_7_1"/>
      <w:tr>
        <w:tblPrEx/>
        <w:trPr/>
        <w:tc>
          <w:tcPr>
            <w:tcMar>
              <w:left w:w="30" w:type="dxa"/>
              <w:right w:w="30" w:type="dxa"/>
            </w:tcMar>
            <w:vAlign w:val="top"/>
          </w:tcPr>
          <w:p>
            <w:pPr>
              <w:spacing w:before="0" w:after="0" w:line="275" w:lineRule="atLeast"/>
            </w:pPr>
            <w:bookmarkStart w:id="60" w:name="co_anchor_F92047886627_1"/>
            <w:bookmarkStart w:id="61" w:name="co_anchor_headNote_[9]_1"/>
            <w:hyperlink w:anchor="co_pp_HNF9_1">
              <w:r>
                <w:rPr>
                  <w:rFonts w:ascii="Times New Roman" w:hAnsi="Times New Roman"/>
                  <w:b/>
                  <w:color w:val="006fc4"/>
                  <w:sz w:val="20"/>
                  <w:vertAlign w:val="superscript"/>
                </w:rPr>
                <w:t>[9]</w:t>
              </w:r>
            </w:hyperlink>
            <w:bookmarkEnd w:id="61"/>
            <w:bookmarkEnd w:id="60"/>
          </w:p>
        </w:tc>
        <w:tc>
          <w:tcPr>
            <w:tcMar>
              <w:left w:w="30" w:type="dxa"/>
              <w:right w:w="30" w:type="dxa"/>
            </w:tcMar>
            <w:vAlign w:val="top"/>
          </w:tcPr>
          <w:p>
            <w:pPr>
              <w:pBdr>
                <w:bottom w:val="none" w:space="2"/>
              </w:pBdr>
              <w:spacing w:before="0" w:after="0" w:line="275" w:lineRule="atLeast"/>
            </w:pPr>
            <w:hyperlink r:id="r41">
              <w:r>
                <w:rPr>
                  <w:rFonts w:ascii="Times New Roman" w:hAnsi="Times New Roman"/>
                  <w:b/>
                  <w:color w:val="006fc4"/>
                  <w:sz w:val="20"/>
                </w:rPr>
                <w:t>Civil Rights</w:t>
              </w:r>
            </w:hyperlink>
            <w:r>
              <w:rPr>
                <w:rFonts w:ascii="Times New Roman" w:hAnsi="Times New Roman"/>
                <w:color w:val="1f1f1f"/>
                <w:sz w:val="20"/>
              </w:rPr>
              <w:drawing>
                <wp:inline>
                  <wp:extent cx="133350" cy="76200"/>
                  <wp:docPr id="23" name="Picture 2" descr="Display Key Number Topics"/>
                  <a:graphic>
                    <a:graphicData uri="http://schemas.openxmlformats.org/drawingml/2006/picture">
                      <p:pic>
                        <p:nvPicPr>
                          <p:cNvPr id="24" name="Picture 2" descr="Display Key Number Topics"/>
                          <p:cNvPicPr/>
                        </p:nvPicPr>
                        <p:blipFill>
                          <a:blip r:embed="r13"/>
                          <a:srcRect/>
                          <a:stretch>
                            <a:fillRect/>
                          </a:stretch>
                        </p:blipFill>
                        <p:spPr>
                          <a:xfrm>
                            <a:off x="0" y="0"/>
                            <a:ext cx="133350" cy="76200"/>
                          </a:xfrm>
                          <a:prstGeom prst="rect"/>
                        </p:spPr>
                      </p:pic>
                    </a:graphicData>
                  </a:graphic>
                </wp:inline>
              </w:drawing>
            </w:r>
            <w:hyperlink r:id="r42">
              <w:r>
                <w:rPr>
                  <w:rFonts w:ascii="Times New Roman" w:hAnsi="Times New Roman"/>
                  <w:color w:val="006fc4"/>
                  <w:sz w:val="20"/>
                </w:rPr>
                <w:t>Public Accommodations</w:t>
              </w:r>
            </w:hyperlink>
          </w:p>
        </w:tc>
      </w:tr>
      <w:bookmarkEnd w:id="59"/>
      <w:bookmarkEnd w:id="58"/>
      <w:bookmarkEnd w:id="57"/>
      <w:bookmarkEnd w:id="5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Goods and services provided by a public accommodation need not have a nexus to a physical place in order to be subject to the antidiscrimination requirements in Title III of the ADA. Americans with Disabilities Act of 1990 § 302, </w:t>
            </w:r>
            <w:hyperlink r:id="r43">
              <w:r>
                <w:rPr>
                  <w:rFonts w:ascii="Times New Roman" w:hAnsi="Times New Roman"/>
                  <w:color w:val="006fc4"/>
                  <w:sz w:val="20"/>
                </w:rPr>
                <w:t>42 U.S.C.A. § 12182(a)</w:t>
              </w:r>
            </w:hyperlink>
            <w:r>
              <w:rPr>
                <w:rFonts w:ascii="Times New Roman" w:hAnsi="Times New Roman"/>
                <w:color w:val="1f1f1f"/>
                <w:sz w:val="20"/>
              </w:rPr>
              <w:t>.</w:t>
            </w:r>
          </w:p>
          <w:bookmarkStart w:id="62" w:name="co_headnoteId_2047886627009202307282142"/>
          <w:p>
            <w:pPr>
              <w:spacing w:before="200" w:after="0" w:line="275" w:lineRule="atLeast"/>
              <w:jc w:val="both"/>
            </w:pPr>
            <w:hyperlink r:id="r44">
              <w:r>
                <w:rPr>
                  <w:rFonts w:ascii="Times New Roman" w:hAnsi="Times New Roman"/>
                  <w:color w:val="006fc4"/>
                  <w:sz w:val="20"/>
                </w:rPr>
                <w:t>4 Cases that cite this headnote</w:t>
              </w:r>
            </w:hyperlink>
          </w:p>
          <w:bookmarkEnd w:id="62"/>
        </w:tc>
      </w:tr>
    </w:tbl>
    <w:p>
      <w:pPr>
        <w:spacing w:before="0" w:after="0" w:line="240" w:lineRule="auto"/>
        <w:rPr>
          <w:sz w:val="20"/>
        </w:rPr>
      </w:pPr>
    </w:p>
    <w:tbl>
      <w:tblPr>
        <w:tblInd w:w="30" w:type="dxa"/>
        <w:tblLayout w:type="fixed"/>
      </w:tblPr>
      <w:tblGrid>
        <w:gridCol w:w="600"/>
        <w:gridCol w:w="9450"/>
      </w:tblGrid>
      <w:bookmarkStart w:id="63" w:name="co_anchor_2047886627011_1"/>
      <w:bookmarkStart w:id="64" w:name="Athens_headnoteCell_F102047886627_1"/>
      <w:bookmarkStart w:id="65" w:name="co_headnotesTable_8_1"/>
      <w:tr>
        <w:tblPrEx/>
        <w:trPr/>
        <w:tc>
          <w:tcPr>
            <w:tcMar>
              <w:left w:w="30" w:type="dxa"/>
              <w:right w:w="30" w:type="dxa"/>
            </w:tcMar>
            <w:vAlign w:val="top"/>
          </w:tcPr>
          <w:p>
            <w:pPr>
              <w:spacing w:before="0" w:after="0" w:line="275" w:lineRule="atLeast"/>
            </w:pPr>
            <w:bookmarkStart w:id="66" w:name="co_anchor_F102047886627_1"/>
            <w:bookmarkStart w:id="67" w:name="co_anchor_headNote_[10]_1"/>
            <w:hyperlink w:anchor="co_pp_HNF10_1">
              <w:r>
                <w:rPr>
                  <w:rFonts w:ascii="Times New Roman" w:hAnsi="Times New Roman"/>
                  <w:b/>
                  <w:color w:val="006fc4"/>
                  <w:sz w:val="20"/>
                  <w:vertAlign w:val="superscript"/>
                </w:rPr>
                <w:t>[10]</w:t>
              </w:r>
            </w:hyperlink>
            <w:bookmarkEnd w:id="67"/>
            <w:bookmarkEnd w:id="66"/>
          </w:p>
        </w:tc>
        <w:tc>
          <w:tcPr>
            <w:tcMar>
              <w:left w:w="30" w:type="dxa"/>
              <w:right w:w="30" w:type="dxa"/>
            </w:tcMar>
            <w:vAlign w:val="top"/>
          </w:tcPr>
          <w:p>
            <w:pPr>
              <w:pBdr>
                <w:bottom w:val="none" w:space="2"/>
              </w:pBdr>
              <w:spacing w:before="0" w:after="0" w:line="275" w:lineRule="atLeast"/>
            </w:pPr>
            <w:hyperlink r:id="r45">
              <w:r>
                <w:rPr>
                  <w:rFonts w:ascii="Times New Roman" w:hAnsi="Times New Roman"/>
                  <w:b/>
                  <w:color w:val="006fc4"/>
                  <w:sz w:val="20"/>
                </w:rPr>
                <w:t>Civil Rights</w:t>
              </w:r>
            </w:hyperlink>
            <w:r>
              <w:rPr>
                <w:rFonts w:ascii="Times New Roman" w:hAnsi="Times New Roman"/>
                <w:color w:val="1f1f1f"/>
                <w:sz w:val="20"/>
              </w:rPr>
              <w:drawing>
                <wp:inline>
                  <wp:extent cx="133350" cy="76200"/>
                  <wp:docPr id="25" name="Picture 2" descr="Display Key Number Topics"/>
                  <a:graphic>
                    <a:graphicData uri="http://schemas.openxmlformats.org/drawingml/2006/picture">
                      <p:pic>
                        <p:nvPicPr>
                          <p:cNvPr id="26" name="Picture 2" descr="Display Key Number Topics"/>
                          <p:cNvPicPr/>
                        </p:nvPicPr>
                        <p:blipFill>
                          <a:blip r:embed="r13"/>
                          <a:srcRect/>
                          <a:stretch>
                            <a:fillRect/>
                          </a:stretch>
                        </p:blipFill>
                        <p:spPr>
                          <a:xfrm>
                            <a:off x="0" y="0"/>
                            <a:ext cx="133350" cy="76200"/>
                          </a:xfrm>
                          <a:prstGeom prst="rect"/>
                        </p:spPr>
                      </p:pic>
                    </a:graphicData>
                  </a:graphic>
                </wp:inline>
              </w:drawing>
            </w:r>
            <w:hyperlink r:id="r46">
              <w:r>
                <w:rPr>
                  <w:rFonts w:ascii="Times New Roman" w:hAnsi="Times New Roman"/>
                  <w:color w:val="006fc4"/>
                  <w:sz w:val="20"/>
                </w:rPr>
                <w:t>Discrimination by reason of handicap, disability, or illness</w:t>
              </w:r>
            </w:hyperlink>
          </w:p>
          <w:p>
            <w:pPr>
              <w:pBdr>
                <w:bottom w:val="none" w:space="2"/>
              </w:pBdr>
              <w:spacing w:before="0" w:after="0" w:line="275" w:lineRule="atLeast"/>
            </w:pPr>
            <w:hyperlink r:id="r47">
              <w:r>
                <w:rPr>
                  <w:rFonts w:ascii="Times New Roman" w:hAnsi="Times New Roman"/>
                  <w:b/>
                  <w:color w:val="006fc4"/>
                  <w:sz w:val="20"/>
                </w:rPr>
                <w:t>Civil Rights</w:t>
              </w:r>
            </w:hyperlink>
            <w:r>
              <w:rPr>
                <w:rFonts w:ascii="Times New Roman" w:hAnsi="Times New Roman"/>
                <w:color w:val="1f1f1f"/>
                <w:sz w:val="20"/>
              </w:rPr>
              <w:drawing>
                <wp:inline>
                  <wp:extent cx="133350" cy="76200"/>
                  <wp:docPr id="27" name="Picture 2" descr="Display Key Number Topics"/>
                  <a:graphic>
                    <a:graphicData uri="http://schemas.openxmlformats.org/drawingml/2006/picture">
                      <p:pic>
                        <p:nvPicPr>
                          <p:cNvPr id="28" name="Picture 2" descr="Display Key Number Topics"/>
                          <p:cNvPicPr/>
                        </p:nvPicPr>
                        <p:blipFill>
                          <a:blip r:embed="r13"/>
                          <a:srcRect/>
                          <a:stretch>
                            <a:fillRect/>
                          </a:stretch>
                        </p:blipFill>
                        <p:spPr>
                          <a:xfrm>
                            <a:off x="0" y="0"/>
                            <a:ext cx="133350" cy="76200"/>
                          </a:xfrm>
                          <a:prstGeom prst="rect"/>
                        </p:spPr>
                      </p:pic>
                    </a:graphicData>
                  </a:graphic>
                </wp:inline>
              </w:drawing>
            </w:r>
            <w:hyperlink r:id="r48">
              <w:r>
                <w:rPr>
                  <w:rFonts w:ascii="Times New Roman" w:hAnsi="Times New Roman"/>
                  <w:color w:val="006fc4"/>
                  <w:sz w:val="20"/>
                </w:rPr>
                <w:t>Discrimination by reason of handicap, disability, or illness</w:t>
              </w:r>
            </w:hyperlink>
          </w:p>
        </w:tc>
      </w:tr>
      <w:bookmarkEnd w:id="65"/>
      <w:bookmarkEnd w:id="64"/>
      <w:bookmarkEnd w:id="6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Disability advocacy group adequately pleaded claim against university for disability discrimination under Rehabilitation Act; as alleged, university hosted audiovisual content on university website, including video recordings of class lectures made freely available to general public, which lacked accurate captioning, as required to make content equally accessible to deaf persons. Rehabilitation Act of 1973 § 504, </w:t>
            </w:r>
            <w:hyperlink r:id="r49">
              <w:r>
                <w:rPr>
                  <w:rFonts w:ascii="Times New Roman" w:hAnsi="Times New Roman"/>
                  <w:color w:val="006fc4"/>
                  <w:sz w:val="20"/>
                </w:rPr>
                <w:t>29 U.S.C.A. § 794</w:t>
              </w:r>
            </w:hyperlink>
            <w:r>
              <w:rPr>
                <w:rFonts w:ascii="Times New Roman" w:hAnsi="Times New Roman"/>
                <w:color w:val="1f1f1f"/>
                <w:sz w:val="20"/>
              </w:rPr>
              <w:t xml:space="preserve">; </w:t>
            </w:r>
            <w:hyperlink r:id="r50">
              <w:r>
                <w:rPr>
                  <w:rFonts w:ascii="Times New Roman" w:hAnsi="Times New Roman"/>
                  <w:color w:val="006fc4"/>
                  <w:sz w:val="20"/>
                </w:rPr>
                <w:t>34 C.F.R. § 104.4(b)(1)(i)</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68" w:name="co_headnoteId_2047886627011202307282142"/>
      <w:bookmarkStart w:id="69" w:name="co_anchor_2047886627012_1"/>
      <w:bookmarkStart w:id="70" w:name="Athens_headnoteCell_F112047886627_1"/>
      <w:bookmarkStart w:id="71" w:name="co_headnotesTable_9_1"/>
      <w:tr>
        <w:tblPrEx/>
        <w:trPr/>
        <w:tc>
          <w:tcPr>
            <w:tcMar>
              <w:left w:w="30" w:type="dxa"/>
              <w:right w:w="30" w:type="dxa"/>
            </w:tcMar>
            <w:vAlign w:val="top"/>
          </w:tcPr>
          <w:p>
            <w:pPr>
              <w:spacing w:before="0" w:after="0" w:line="275" w:lineRule="atLeast"/>
            </w:pPr>
            <w:bookmarkStart w:id="72" w:name="co_anchor_F112047886627_1"/>
            <w:bookmarkStart w:id="73" w:name="co_anchor_headNote_[11]_1"/>
            <w:hyperlink w:anchor="co_pp_HNF11_1">
              <w:r>
                <w:rPr>
                  <w:rFonts w:ascii="Times New Roman" w:hAnsi="Times New Roman"/>
                  <w:b/>
                  <w:color w:val="006fc4"/>
                  <w:sz w:val="20"/>
                  <w:vertAlign w:val="superscript"/>
                </w:rPr>
                <w:t>[11]</w:t>
              </w:r>
            </w:hyperlink>
            <w:bookmarkEnd w:id="73"/>
            <w:bookmarkEnd w:id="72"/>
          </w:p>
        </w:tc>
        <w:tc>
          <w:tcPr>
            <w:tcMar>
              <w:left w:w="30" w:type="dxa"/>
              <w:right w:w="30" w:type="dxa"/>
            </w:tcMar>
            <w:vAlign w:val="top"/>
          </w:tcPr>
          <w:p>
            <w:pPr>
              <w:pBdr>
                <w:bottom w:val="none" w:space="2"/>
              </w:pBdr>
              <w:spacing w:before="0" w:after="0" w:line="275" w:lineRule="atLeast"/>
            </w:pPr>
            <w:hyperlink r:id="r51">
              <w:r>
                <w:rPr>
                  <w:rFonts w:ascii="Times New Roman" w:hAnsi="Times New Roman"/>
                  <w:b/>
                  <w:color w:val="006fc4"/>
                  <w:sz w:val="20"/>
                </w:rPr>
                <w:t>Civil Rights</w:t>
              </w:r>
            </w:hyperlink>
            <w:r>
              <w:rPr>
                <w:rFonts w:ascii="Times New Roman" w:hAnsi="Times New Roman"/>
                <w:color w:val="1f1f1f"/>
                <w:sz w:val="20"/>
              </w:rPr>
              <w:drawing>
                <wp:inline>
                  <wp:extent cx="133350" cy="76200"/>
                  <wp:docPr id="29" name="Picture 2" descr="Display Key Number Topics"/>
                  <a:graphic>
                    <a:graphicData uri="http://schemas.openxmlformats.org/drawingml/2006/picture">
                      <p:pic>
                        <p:nvPicPr>
                          <p:cNvPr id="30" name="Picture 2" descr="Display Key Number Topics"/>
                          <p:cNvPicPr/>
                        </p:nvPicPr>
                        <p:blipFill>
                          <a:blip r:embed="r13"/>
                          <a:srcRect/>
                          <a:stretch>
                            <a:fillRect/>
                          </a:stretch>
                        </p:blipFill>
                        <p:spPr>
                          <a:xfrm>
                            <a:off x="0" y="0"/>
                            <a:ext cx="133350" cy="76200"/>
                          </a:xfrm>
                          <a:prstGeom prst="rect"/>
                        </p:spPr>
                      </p:pic>
                    </a:graphicData>
                  </a:graphic>
                </wp:inline>
              </w:drawing>
            </w:r>
            <w:hyperlink r:id="r52">
              <w:r>
                <w:rPr>
                  <w:rFonts w:ascii="Times New Roman" w:hAnsi="Times New Roman"/>
                  <w:color w:val="006fc4"/>
                  <w:sz w:val="20"/>
                </w:rPr>
                <w:t>Discrimination by reason of handicap, disability, or illness</w:t>
              </w:r>
            </w:hyperlink>
          </w:p>
        </w:tc>
      </w:tr>
      <w:bookmarkEnd w:id="71"/>
      <w:bookmarkEnd w:id="70"/>
      <w:bookmarkEnd w:id="69"/>
      <w:bookmarkEnd w:id="6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the Rehabilitation Act, public entities may not establish requirements or policies governing the activities of private actors which they regulate that would result in discrimination against individuals with disabilities. Rehabilitation Act of 1973 § 504, </w:t>
            </w:r>
            <w:hyperlink r:id="r53">
              <w:r>
                <w:rPr>
                  <w:rFonts w:ascii="Times New Roman" w:hAnsi="Times New Roman"/>
                  <w:color w:val="006fc4"/>
                  <w:sz w:val="20"/>
                </w:rPr>
                <w:t>29 U.S.C.A. § 794</w:t>
              </w:r>
            </w:hyperlink>
            <w:r>
              <w:rPr>
                <w:rFonts w:ascii="Times New Roman" w:hAnsi="Times New Roman"/>
                <w:color w:val="1f1f1f"/>
                <w:sz w:val="20"/>
              </w:rPr>
              <w:t xml:space="preserve">; </w:t>
            </w:r>
            <w:hyperlink r:id="r54">
              <w:r>
                <w:rPr>
                  <w:rFonts w:ascii="Times New Roman" w:hAnsi="Times New Roman"/>
                  <w:color w:val="006fc4"/>
                  <w:sz w:val="20"/>
                </w:rPr>
                <w:t>28 C.F.R. § 35.130(b)(1)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74" w:name="co_headnoteId_2047886627012202307282142"/>
      <w:bookmarkStart w:id="75" w:name="co_anchor_2047886627013_1"/>
      <w:bookmarkStart w:id="76" w:name="Athens_headnoteCell_F122047886627_1"/>
      <w:bookmarkStart w:id="77" w:name="co_headnotesTable_10_1"/>
      <w:tr>
        <w:tblPrEx/>
        <w:trPr/>
        <w:tc>
          <w:tcPr>
            <w:tcMar>
              <w:left w:w="30" w:type="dxa"/>
              <w:right w:w="30" w:type="dxa"/>
            </w:tcMar>
            <w:vAlign w:val="top"/>
          </w:tcPr>
          <w:p>
            <w:pPr>
              <w:spacing w:before="0" w:after="0" w:line="275" w:lineRule="atLeast"/>
            </w:pPr>
            <w:bookmarkStart w:id="78" w:name="co_anchor_F122047886627_1"/>
            <w:bookmarkStart w:id="79" w:name="co_anchor_headNote_[12]_1"/>
            <w:hyperlink w:anchor="co_pp_HNF12_1">
              <w:r>
                <w:rPr>
                  <w:rFonts w:ascii="Times New Roman" w:hAnsi="Times New Roman"/>
                  <w:b/>
                  <w:color w:val="006fc4"/>
                  <w:sz w:val="20"/>
                  <w:vertAlign w:val="superscript"/>
                </w:rPr>
                <w:t>[12]</w:t>
              </w:r>
            </w:hyperlink>
            <w:bookmarkEnd w:id="79"/>
            <w:bookmarkEnd w:id="78"/>
          </w:p>
        </w:tc>
        <w:tc>
          <w:tcPr>
            <w:tcMar>
              <w:left w:w="30" w:type="dxa"/>
              <w:right w:w="30" w:type="dxa"/>
            </w:tcMar>
            <w:vAlign w:val="top"/>
          </w:tcPr>
          <w:p>
            <w:pPr>
              <w:pBdr>
                <w:bottom w:val="none" w:space="2"/>
              </w:pBdr>
              <w:spacing w:before="0" w:after="0" w:line="275" w:lineRule="atLeast"/>
            </w:pPr>
            <w:hyperlink r:id="r55">
              <w:r>
                <w:rPr>
                  <w:rFonts w:ascii="Times New Roman" w:hAnsi="Times New Roman"/>
                  <w:b/>
                  <w:color w:val="006fc4"/>
                  <w:sz w:val="20"/>
                </w:rPr>
                <w:t>Civil Rights</w:t>
              </w:r>
            </w:hyperlink>
            <w:r>
              <w:rPr>
                <w:rFonts w:ascii="Times New Roman" w:hAnsi="Times New Roman"/>
                <w:color w:val="1f1f1f"/>
                <w:sz w:val="20"/>
              </w:rPr>
              <w:drawing>
                <wp:inline>
                  <wp:extent cx="133350" cy="76200"/>
                  <wp:docPr id="31" name="Picture 2" descr="Display Key Number Topics"/>
                  <a:graphic>
                    <a:graphicData uri="http://schemas.openxmlformats.org/drawingml/2006/picture">
                      <p:pic>
                        <p:nvPicPr>
                          <p:cNvPr id="32" name="Picture 2" descr="Display Key Number Topics"/>
                          <p:cNvPicPr/>
                        </p:nvPicPr>
                        <p:blipFill>
                          <a:blip r:embed="r13"/>
                          <a:srcRect/>
                          <a:stretch>
                            <a:fillRect/>
                          </a:stretch>
                        </p:blipFill>
                        <p:spPr>
                          <a:xfrm>
                            <a:off x="0" y="0"/>
                            <a:ext cx="133350" cy="76200"/>
                          </a:xfrm>
                          <a:prstGeom prst="rect"/>
                        </p:spPr>
                      </p:pic>
                    </a:graphicData>
                  </a:graphic>
                </wp:inline>
              </w:drawing>
            </w:r>
            <w:hyperlink r:id="r56">
              <w:r>
                <w:rPr>
                  <w:rFonts w:ascii="Times New Roman" w:hAnsi="Times New Roman"/>
                  <w:color w:val="006fc4"/>
                  <w:sz w:val="20"/>
                </w:rPr>
                <w:t>Discrimination by reason of handicap, disability, or illness</w:t>
              </w:r>
            </w:hyperlink>
          </w:p>
          <w:p>
            <w:pPr>
              <w:pBdr>
                <w:bottom w:val="none" w:space="2"/>
              </w:pBdr>
              <w:spacing w:before="0" w:after="0" w:line="275" w:lineRule="atLeast"/>
            </w:pPr>
            <w:hyperlink r:id="r57">
              <w:r>
                <w:rPr>
                  <w:rFonts w:ascii="Times New Roman" w:hAnsi="Times New Roman"/>
                  <w:b/>
                  <w:color w:val="006fc4"/>
                  <w:sz w:val="20"/>
                </w:rPr>
                <w:t>Civil Rights</w:t>
              </w:r>
            </w:hyperlink>
            <w:r>
              <w:rPr>
                <w:rFonts w:ascii="Times New Roman" w:hAnsi="Times New Roman"/>
                <w:color w:val="1f1f1f"/>
                <w:sz w:val="20"/>
              </w:rPr>
              <w:drawing>
                <wp:inline>
                  <wp:extent cx="133350" cy="76200"/>
                  <wp:docPr id="33" name="Picture 2" descr="Display Key Number Topics"/>
                  <a:graphic>
                    <a:graphicData uri="http://schemas.openxmlformats.org/drawingml/2006/picture">
                      <p:pic>
                        <p:nvPicPr>
                          <p:cNvPr id="34" name="Picture 2" descr="Display Key Number Topics"/>
                          <p:cNvPicPr/>
                        </p:nvPicPr>
                        <p:blipFill>
                          <a:blip r:embed="r13"/>
                          <a:srcRect/>
                          <a:stretch>
                            <a:fillRect/>
                          </a:stretch>
                        </p:blipFill>
                        <p:spPr>
                          <a:xfrm>
                            <a:off x="0" y="0"/>
                            <a:ext cx="133350" cy="76200"/>
                          </a:xfrm>
                          <a:prstGeom prst="rect"/>
                        </p:spPr>
                      </p:pic>
                    </a:graphicData>
                  </a:graphic>
                </wp:inline>
              </w:drawing>
            </w:r>
            <w:hyperlink r:id="r58">
              <w:r>
                <w:rPr>
                  <w:rFonts w:ascii="Times New Roman" w:hAnsi="Times New Roman"/>
                  <w:color w:val="006fc4"/>
                  <w:sz w:val="20"/>
                </w:rPr>
                <w:t>Discrimination by reason of handicap, disability, or illness</w:t>
              </w:r>
            </w:hyperlink>
          </w:p>
        </w:tc>
      </w:tr>
      <w:bookmarkEnd w:id="77"/>
      <w:bookmarkEnd w:id="76"/>
      <w:bookmarkEnd w:id="75"/>
      <w:bookmarkEnd w:id="7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University's audiovisual content hosted by third-party websites, including video recordings of class lectures, was subject to antidiscrimination requirements in Title III of ADA and Rehabilitation Act, where university was public accommodation and recipient of federal funds. Rehabilitation Act of 1973 § 504, </w:t>
            </w:r>
            <w:hyperlink r:id="r59">
              <w:r>
                <w:rPr>
                  <w:rFonts w:ascii="Times New Roman" w:hAnsi="Times New Roman"/>
                  <w:color w:val="006fc4"/>
                  <w:sz w:val="20"/>
                </w:rPr>
                <w:t>29 U.S.C.A. § 794</w:t>
              </w:r>
            </w:hyperlink>
            <w:r>
              <w:rPr>
                <w:rFonts w:ascii="Times New Roman" w:hAnsi="Times New Roman"/>
                <w:color w:val="1f1f1f"/>
                <w:sz w:val="20"/>
              </w:rPr>
              <w:t xml:space="preserve">; Americans with Disabilities Act of 1990 § 302, </w:t>
            </w:r>
            <w:hyperlink r:id="r60">
              <w:r>
                <w:rPr>
                  <w:rFonts w:ascii="Times New Roman" w:hAnsi="Times New Roman"/>
                  <w:color w:val="006fc4"/>
                  <w:sz w:val="20"/>
                </w:rPr>
                <w:t>42 U.S.C.A. § 12182(a)</w:t>
              </w:r>
            </w:hyperlink>
            <w:r>
              <w:rPr>
                <w:rFonts w:ascii="Times New Roman" w:hAnsi="Times New Roman"/>
                <w:color w:val="1f1f1f"/>
                <w:sz w:val="20"/>
              </w:rPr>
              <w:t xml:space="preserve">; </w:t>
            </w:r>
            <w:hyperlink r:id="r61">
              <w:r>
                <w:rPr>
                  <w:rFonts w:ascii="Times New Roman" w:hAnsi="Times New Roman"/>
                  <w:color w:val="006fc4"/>
                  <w:sz w:val="20"/>
                </w:rPr>
                <w:t>28 C.F.R. § 36.202(b)</w:t>
              </w:r>
            </w:hyperlink>
            <w:r>
              <w:rPr>
                <w:rFonts w:ascii="Times New Roman" w:hAnsi="Times New Roman"/>
                <w:color w:val="1f1f1f"/>
                <w:sz w:val="20"/>
              </w:rPr>
              <w:t xml:space="preserve">; </w:t>
            </w:r>
            <w:hyperlink r:id="r62">
              <w:r>
                <w:rPr>
                  <w:rFonts w:ascii="Times New Roman" w:hAnsi="Times New Roman"/>
                  <w:color w:val="006fc4"/>
                  <w:sz w:val="20"/>
                </w:rPr>
                <w:t>34 C.F.R. § 104.4(b)(1)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80" w:name="co_headnoteId_2047886627013202307282142"/>
      <w:bookmarkStart w:id="81" w:name="co_anchor_2047886627014_1"/>
      <w:bookmarkStart w:id="82" w:name="Athens_headnoteCell_F132047886627_1"/>
      <w:bookmarkStart w:id="83" w:name="co_headnotesTable_11_1"/>
      <w:tr>
        <w:tblPrEx/>
        <w:trPr/>
        <w:tc>
          <w:tcPr>
            <w:tcMar>
              <w:left w:w="30" w:type="dxa"/>
              <w:right w:w="30" w:type="dxa"/>
            </w:tcMar>
            <w:vAlign w:val="top"/>
          </w:tcPr>
          <w:p>
            <w:pPr>
              <w:spacing w:before="0" w:after="0" w:line="275" w:lineRule="atLeast"/>
            </w:pPr>
            <w:bookmarkStart w:id="84" w:name="co_anchor_F132047886627_1"/>
            <w:bookmarkStart w:id="85" w:name="co_anchor_headNote_[13]_1"/>
            <w:hyperlink w:anchor="co_pp_HNF13_1">
              <w:r>
                <w:rPr>
                  <w:rFonts w:ascii="Times New Roman" w:hAnsi="Times New Roman"/>
                  <w:b/>
                  <w:color w:val="006fc4"/>
                  <w:sz w:val="20"/>
                  <w:vertAlign w:val="superscript"/>
                </w:rPr>
                <w:t>[13]</w:t>
              </w:r>
            </w:hyperlink>
            <w:bookmarkEnd w:id="85"/>
            <w:bookmarkEnd w:id="84"/>
          </w:p>
        </w:tc>
        <w:tc>
          <w:tcPr>
            <w:tcMar>
              <w:left w:w="30" w:type="dxa"/>
              <w:right w:w="30" w:type="dxa"/>
            </w:tcMar>
            <w:vAlign w:val="top"/>
          </w:tcPr>
          <w:p>
            <w:pPr>
              <w:pBdr>
                <w:bottom w:val="none" w:space="2"/>
              </w:pBdr>
              <w:spacing w:before="0" w:after="0" w:line="275" w:lineRule="atLeast"/>
            </w:pPr>
            <w:hyperlink r:id="r63">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35" name="Picture 2" descr="Display Key Number Topics"/>
                  <a:graphic>
                    <a:graphicData uri="http://schemas.openxmlformats.org/drawingml/2006/picture">
                      <p:pic>
                        <p:nvPicPr>
                          <p:cNvPr id="36" name="Picture 2" descr="Display Key Number Topics"/>
                          <p:cNvPicPr/>
                        </p:nvPicPr>
                        <p:blipFill>
                          <a:blip r:embed="r13"/>
                          <a:srcRect/>
                          <a:stretch>
                            <a:fillRect/>
                          </a:stretch>
                        </p:blipFill>
                        <p:spPr>
                          <a:xfrm>
                            <a:off x="0" y="0"/>
                            <a:ext cx="133350" cy="76200"/>
                          </a:xfrm>
                          <a:prstGeom prst="rect"/>
                        </p:spPr>
                      </p:pic>
                    </a:graphicData>
                  </a:graphic>
                </wp:inline>
              </w:drawing>
            </w:r>
            <w:hyperlink r:id="r64">
              <w:r>
                <w:rPr>
                  <w:rFonts w:ascii="Times New Roman" w:hAnsi="Times New Roman"/>
                  <w:color w:val="006fc4"/>
                  <w:sz w:val="20"/>
                </w:rPr>
                <w:t>Privilege or immunity</w:t>
              </w:r>
            </w:hyperlink>
          </w:p>
        </w:tc>
      </w:tr>
      <w:bookmarkEnd w:id="83"/>
      <w:bookmarkEnd w:id="82"/>
      <w:bookmarkEnd w:id="81"/>
      <w:bookmarkEnd w:id="8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Communications Decency Act shields website operators from being treated as the publisher or speaker of material posted by users of the website. Communications Act of 1934 § 230, </w:t>
            </w:r>
            <w:hyperlink r:id="r65">
              <w:r>
                <w:rPr>
                  <w:rFonts w:ascii="Times New Roman" w:hAnsi="Times New Roman"/>
                  <w:color w:val="006fc4"/>
                  <w:sz w:val="20"/>
                </w:rPr>
                <w:t>47 U.S.C.A. § 230(c)(1)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86" w:name="co_headnoteId_2047886627014202307282142"/>
      <w:bookmarkStart w:id="87" w:name="co_anchor_2047886627015_1"/>
      <w:bookmarkStart w:id="88" w:name="Athens_headnoteCell_F142047886627_1"/>
      <w:bookmarkStart w:id="89" w:name="co_headnotesTable_12_1"/>
      <w:tr>
        <w:tblPrEx/>
        <w:trPr/>
        <w:tc>
          <w:tcPr>
            <w:tcMar>
              <w:left w:w="30" w:type="dxa"/>
              <w:right w:w="30" w:type="dxa"/>
            </w:tcMar>
            <w:vAlign w:val="top"/>
          </w:tcPr>
          <w:p>
            <w:pPr>
              <w:spacing w:before="0" w:after="0" w:line="275" w:lineRule="atLeast"/>
            </w:pPr>
            <w:bookmarkStart w:id="90" w:name="co_anchor_F142047886627_1"/>
            <w:bookmarkStart w:id="91" w:name="co_anchor_headNote_[14]_1"/>
            <w:hyperlink w:anchor="co_pp_HNF14_1">
              <w:r>
                <w:rPr>
                  <w:rFonts w:ascii="Times New Roman" w:hAnsi="Times New Roman"/>
                  <w:b/>
                  <w:color w:val="006fc4"/>
                  <w:sz w:val="20"/>
                  <w:vertAlign w:val="superscript"/>
                </w:rPr>
                <w:t>[14]</w:t>
              </w:r>
            </w:hyperlink>
            <w:bookmarkEnd w:id="91"/>
            <w:bookmarkEnd w:id="90"/>
          </w:p>
        </w:tc>
        <w:tc>
          <w:tcPr>
            <w:tcMar>
              <w:left w:w="30" w:type="dxa"/>
              <w:right w:w="30" w:type="dxa"/>
            </w:tcMar>
            <w:vAlign w:val="top"/>
          </w:tcPr>
          <w:p>
            <w:pPr>
              <w:pBdr>
                <w:bottom w:val="none" w:space="2"/>
              </w:pBdr>
              <w:spacing w:before="0" w:after="0" w:line="275" w:lineRule="atLeast"/>
            </w:pPr>
            <w:hyperlink r:id="r66">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37" name="Picture 2" descr="Display Key Number Topics"/>
                  <a:graphic>
                    <a:graphicData uri="http://schemas.openxmlformats.org/drawingml/2006/picture">
                      <p:pic>
                        <p:nvPicPr>
                          <p:cNvPr id="38" name="Picture 2" descr="Display Key Number Topics"/>
                          <p:cNvPicPr/>
                        </p:nvPicPr>
                        <p:blipFill>
                          <a:blip r:embed="r13"/>
                          <a:srcRect/>
                          <a:stretch>
                            <a:fillRect/>
                          </a:stretch>
                        </p:blipFill>
                        <p:spPr>
                          <a:xfrm>
                            <a:off x="0" y="0"/>
                            <a:ext cx="133350" cy="76200"/>
                          </a:xfrm>
                          <a:prstGeom prst="rect"/>
                        </p:spPr>
                      </p:pic>
                    </a:graphicData>
                  </a:graphic>
                </wp:inline>
              </w:drawing>
            </w:r>
            <w:hyperlink r:id="r67">
              <w:r>
                <w:rPr>
                  <w:rFonts w:ascii="Times New Roman" w:hAnsi="Times New Roman"/>
                  <w:color w:val="006fc4"/>
                  <w:sz w:val="20"/>
                </w:rPr>
                <w:t>Privilege or immunity</w:t>
              </w:r>
            </w:hyperlink>
          </w:p>
        </w:tc>
      </w:tr>
      <w:bookmarkEnd w:id="89"/>
      <w:bookmarkEnd w:id="88"/>
      <w:bookmarkEnd w:id="87"/>
      <w:bookmarkEnd w:id="8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Lawsuits seeking to hold an interactive computer service provider liable for its exercise of a publisher's traditional editorial functions, such as deciding whether to publish, withdraw, postpone or alter content, are barred by the Communications Decency Act. Communications Act of 1934 § 230, </w:t>
            </w:r>
            <w:hyperlink r:id="r68">
              <w:r>
                <w:rPr>
                  <w:rFonts w:ascii="Times New Roman" w:hAnsi="Times New Roman"/>
                  <w:color w:val="006fc4"/>
                  <w:sz w:val="20"/>
                </w:rPr>
                <w:t>47 U.S.C.A. § 230</w:t>
              </w:r>
            </w:hyperlink>
            <w:r>
              <w:rPr>
                <w:rFonts w:ascii="Times New Roman" w:hAnsi="Times New Roman"/>
                <w:color w:val="1f1f1f"/>
                <w:sz w:val="20"/>
              </w:rPr>
              <w:t>.</w:t>
            </w:r>
          </w:p>
          <w:bookmarkStart w:id="92" w:name="co_headnoteId_2047886627015202307282142"/>
          <w:p>
            <w:pPr>
              <w:spacing w:before="200" w:after="0" w:line="275" w:lineRule="atLeast"/>
              <w:jc w:val="both"/>
            </w:pPr>
            <w:hyperlink r:id="r69">
              <w:r>
                <w:rPr>
                  <w:rFonts w:ascii="Times New Roman" w:hAnsi="Times New Roman"/>
                  <w:color w:val="006fc4"/>
                  <w:sz w:val="20"/>
                </w:rPr>
                <w:t>2 Cases that cite this headnote</w:t>
              </w:r>
            </w:hyperlink>
          </w:p>
          <w:bookmarkEnd w:id="92"/>
        </w:tc>
      </w:tr>
    </w:tbl>
    <w:p>
      <w:pPr>
        <w:spacing w:before="0" w:after="0" w:line="240" w:lineRule="auto"/>
        <w:rPr>
          <w:sz w:val="20"/>
        </w:rPr>
      </w:pPr>
    </w:p>
    <w:tbl>
      <w:tblPr>
        <w:tblInd w:w="30" w:type="dxa"/>
        <w:tblLayout w:type="fixed"/>
      </w:tblPr>
      <w:tblGrid>
        <w:gridCol w:w="600"/>
        <w:gridCol w:w="9450"/>
      </w:tblGrid>
      <w:bookmarkStart w:id="93" w:name="co_anchor_2047886627016_1"/>
      <w:bookmarkStart w:id="94" w:name="Athens_headnoteCell_F152047886627_1"/>
      <w:bookmarkStart w:id="95" w:name="co_headnotesTable_13_1"/>
      <w:tr>
        <w:tblPrEx/>
        <w:trPr/>
        <w:tc>
          <w:tcPr>
            <w:tcMar>
              <w:left w:w="30" w:type="dxa"/>
              <w:right w:w="30" w:type="dxa"/>
            </w:tcMar>
            <w:vAlign w:val="top"/>
          </w:tcPr>
          <w:p>
            <w:pPr>
              <w:spacing w:before="0" w:after="0" w:line="275" w:lineRule="atLeast"/>
            </w:pPr>
            <w:bookmarkStart w:id="96" w:name="co_anchor_F152047886627_1"/>
            <w:bookmarkStart w:id="97" w:name="co_anchor_headNote_[15]_1"/>
            <w:hyperlink w:anchor="co_pp_HNF15_1">
              <w:r>
                <w:rPr>
                  <w:rFonts w:ascii="Times New Roman" w:hAnsi="Times New Roman"/>
                  <w:b/>
                  <w:color w:val="006fc4"/>
                  <w:sz w:val="20"/>
                  <w:vertAlign w:val="superscript"/>
                </w:rPr>
                <w:t>[15]</w:t>
              </w:r>
            </w:hyperlink>
            <w:bookmarkEnd w:id="97"/>
            <w:bookmarkEnd w:id="96"/>
          </w:p>
        </w:tc>
        <w:tc>
          <w:tcPr>
            <w:tcMar>
              <w:left w:w="30" w:type="dxa"/>
              <w:right w:w="30" w:type="dxa"/>
            </w:tcMar>
            <w:vAlign w:val="top"/>
          </w:tcPr>
          <w:p>
            <w:pPr>
              <w:pBdr>
                <w:bottom w:val="none" w:space="2"/>
              </w:pBdr>
              <w:spacing w:before="0" w:after="0" w:line="275" w:lineRule="atLeast"/>
            </w:pPr>
            <w:hyperlink r:id="r70">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39" name="Picture 2" descr="Display Key Number Topics"/>
                  <a:graphic>
                    <a:graphicData uri="http://schemas.openxmlformats.org/drawingml/2006/picture">
                      <p:pic>
                        <p:nvPicPr>
                          <p:cNvPr id="40" name="Picture 2" descr="Display Key Number Topics"/>
                          <p:cNvPicPr/>
                        </p:nvPicPr>
                        <p:blipFill>
                          <a:blip r:embed="r13"/>
                          <a:srcRect/>
                          <a:stretch>
                            <a:fillRect/>
                          </a:stretch>
                        </p:blipFill>
                        <p:spPr>
                          <a:xfrm>
                            <a:off x="0" y="0"/>
                            <a:ext cx="133350" cy="76200"/>
                          </a:xfrm>
                          <a:prstGeom prst="rect"/>
                        </p:spPr>
                      </p:pic>
                    </a:graphicData>
                  </a:graphic>
                </wp:inline>
              </w:drawing>
            </w:r>
            <w:hyperlink r:id="r71">
              <w:r>
                <w:rPr>
                  <w:rFonts w:ascii="Times New Roman" w:hAnsi="Times New Roman"/>
                  <w:color w:val="006fc4"/>
                  <w:sz w:val="20"/>
                </w:rPr>
                <w:t>Privilege or immunity</w:t>
              </w:r>
            </w:hyperlink>
          </w:p>
        </w:tc>
      </w:tr>
      <w:bookmarkEnd w:id="95"/>
      <w:bookmarkEnd w:id="94"/>
      <w:bookmarkEnd w:id="9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Communications Decency Act's definition of “information content provider” is broad, covering even those who are responsible for the development of content only in part. Communications Act of 1934 § 230, </w:t>
            </w:r>
            <w:hyperlink r:id="r72">
              <w:r>
                <w:rPr>
                  <w:rFonts w:ascii="Times New Roman" w:hAnsi="Times New Roman"/>
                  <w:color w:val="006fc4"/>
                  <w:sz w:val="20"/>
                </w:rPr>
                <w:t>47 U.S.C.A. § 230(f)(3)</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98" w:name="co_headnoteId_2047886627016202307282142"/>
      <w:bookmarkStart w:id="99" w:name="co_anchor_2047886627017_1"/>
      <w:bookmarkStart w:id="100" w:name="Athens_headnoteCell_F162047886627_1"/>
      <w:bookmarkStart w:id="101" w:name="co_headnotesTable_14_1"/>
      <w:tr>
        <w:tblPrEx/>
        <w:trPr/>
        <w:tc>
          <w:tcPr>
            <w:tcMar>
              <w:left w:w="30" w:type="dxa"/>
              <w:right w:w="30" w:type="dxa"/>
            </w:tcMar>
            <w:vAlign w:val="top"/>
          </w:tcPr>
          <w:p>
            <w:pPr>
              <w:spacing w:before="0" w:after="0" w:line="275" w:lineRule="atLeast"/>
            </w:pPr>
            <w:bookmarkStart w:id="102" w:name="co_anchor_F162047886627_1"/>
            <w:bookmarkStart w:id="103" w:name="co_anchor_headNote_[16]_1"/>
            <w:hyperlink w:anchor="co_pp_HNF16_1">
              <w:r>
                <w:rPr>
                  <w:rFonts w:ascii="Times New Roman" w:hAnsi="Times New Roman"/>
                  <w:b/>
                  <w:color w:val="006fc4"/>
                  <w:sz w:val="20"/>
                  <w:vertAlign w:val="superscript"/>
                </w:rPr>
                <w:t>[16]</w:t>
              </w:r>
            </w:hyperlink>
            <w:bookmarkEnd w:id="103"/>
            <w:bookmarkEnd w:id="102"/>
          </w:p>
        </w:tc>
        <w:tc>
          <w:tcPr>
            <w:tcMar>
              <w:left w:w="30" w:type="dxa"/>
              <w:right w:w="30" w:type="dxa"/>
            </w:tcMar>
            <w:vAlign w:val="top"/>
          </w:tcPr>
          <w:p>
            <w:pPr>
              <w:pBdr>
                <w:bottom w:val="none" w:space="2"/>
              </w:pBdr>
              <w:spacing w:before="0" w:after="0" w:line="275" w:lineRule="atLeast"/>
            </w:pPr>
            <w:hyperlink r:id="r73">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41" name="Picture 2" descr="Display Key Number Topics"/>
                  <a:graphic>
                    <a:graphicData uri="http://schemas.openxmlformats.org/drawingml/2006/picture">
                      <p:pic>
                        <p:nvPicPr>
                          <p:cNvPr id="42" name="Picture 2" descr="Display Key Number Topics"/>
                          <p:cNvPicPr/>
                        </p:nvPicPr>
                        <p:blipFill>
                          <a:blip r:embed="r13"/>
                          <a:srcRect/>
                          <a:stretch>
                            <a:fillRect/>
                          </a:stretch>
                        </p:blipFill>
                        <p:spPr>
                          <a:xfrm>
                            <a:off x="0" y="0"/>
                            <a:ext cx="133350" cy="76200"/>
                          </a:xfrm>
                          <a:prstGeom prst="rect"/>
                        </p:spPr>
                      </p:pic>
                    </a:graphicData>
                  </a:graphic>
                </wp:inline>
              </w:drawing>
            </w:r>
            <w:hyperlink r:id="r74">
              <w:r>
                <w:rPr>
                  <w:rFonts w:ascii="Times New Roman" w:hAnsi="Times New Roman"/>
                  <w:color w:val="006fc4"/>
                  <w:sz w:val="20"/>
                </w:rPr>
                <w:t>Privilege or immunity</w:t>
              </w:r>
            </w:hyperlink>
          </w:p>
        </w:tc>
      </w:tr>
      <w:bookmarkEnd w:id="101"/>
      <w:bookmarkEnd w:id="100"/>
      <w:bookmarkEnd w:id="99"/>
      <w:bookmarkEnd w:id="9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An interactive computer service provider's immunity from suit under the Communications Decency Act only applies when the information that forms the basis for the claim has been provided by another information content provider; thus, an interactive computer service provider remains liable for its own speech. Communications Act of 1934 § 230, </w:t>
            </w:r>
            <w:hyperlink r:id="r75">
              <w:r>
                <w:rPr>
                  <w:rFonts w:ascii="Times New Roman" w:hAnsi="Times New Roman"/>
                  <w:color w:val="006fc4"/>
                  <w:sz w:val="20"/>
                </w:rPr>
                <w:t>47 U.S.C.A. § 230</w:t>
              </w:r>
            </w:hyperlink>
            <w:r>
              <w:rPr>
                <w:rFonts w:ascii="Times New Roman" w:hAnsi="Times New Roman"/>
                <w:color w:val="1f1f1f"/>
                <w:sz w:val="20"/>
              </w:rPr>
              <w:t>.</w:t>
            </w:r>
          </w:p>
          <w:bookmarkStart w:id="104" w:name="co_headnoteId_2047886627017202307282142"/>
          <w:p>
            <w:pPr>
              <w:spacing w:before="200" w:after="0" w:line="275" w:lineRule="atLeast"/>
              <w:jc w:val="both"/>
            </w:pPr>
            <w:hyperlink r:id="r76">
              <w:r>
                <w:rPr>
                  <w:rFonts w:ascii="Times New Roman" w:hAnsi="Times New Roman"/>
                  <w:color w:val="006fc4"/>
                  <w:sz w:val="20"/>
                </w:rPr>
                <w:t>3 Cases that cite this headnote</w:t>
              </w:r>
            </w:hyperlink>
          </w:p>
          <w:bookmarkEnd w:id="104"/>
        </w:tc>
      </w:tr>
    </w:tbl>
    <w:p>
      <w:pPr>
        <w:spacing w:before="0" w:after="0" w:line="240" w:lineRule="auto"/>
        <w:rPr>
          <w:sz w:val="20"/>
        </w:rPr>
      </w:pPr>
    </w:p>
    <w:tbl>
      <w:tblPr>
        <w:tblInd w:w="30" w:type="dxa"/>
        <w:tblLayout w:type="fixed"/>
      </w:tblPr>
      <w:tblGrid>
        <w:gridCol w:w="600"/>
        <w:gridCol w:w="9450"/>
      </w:tblGrid>
      <w:bookmarkStart w:id="105" w:name="co_anchor_2047886627018_1"/>
      <w:bookmarkStart w:id="106" w:name="Athens_headnoteCell_F172047886627_1"/>
      <w:bookmarkStart w:id="107" w:name="co_headnotesTable_15_1"/>
      <w:tr>
        <w:tblPrEx/>
        <w:trPr/>
        <w:tc>
          <w:tcPr>
            <w:tcMar>
              <w:left w:w="30" w:type="dxa"/>
              <w:right w:w="30" w:type="dxa"/>
            </w:tcMar>
            <w:vAlign w:val="top"/>
          </w:tcPr>
          <w:p>
            <w:pPr>
              <w:spacing w:before="0" w:after="0" w:line="275" w:lineRule="atLeast"/>
            </w:pPr>
            <w:bookmarkStart w:id="108" w:name="co_anchor_F172047886627_1"/>
            <w:bookmarkStart w:id="109" w:name="co_anchor_headNote_[17]_1"/>
            <w:hyperlink w:anchor="co_pp_HNF17_1">
              <w:r>
                <w:rPr>
                  <w:rFonts w:ascii="Times New Roman" w:hAnsi="Times New Roman"/>
                  <w:b/>
                  <w:color w:val="006fc4"/>
                  <w:sz w:val="20"/>
                  <w:vertAlign w:val="superscript"/>
                </w:rPr>
                <w:t>[17]</w:t>
              </w:r>
            </w:hyperlink>
            <w:bookmarkEnd w:id="109"/>
            <w:bookmarkEnd w:id="108"/>
          </w:p>
        </w:tc>
        <w:tc>
          <w:tcPr>
            <w:tcMar>
              <w:left w:w="30" w:type="dxa"/>
              <w:right w:w="30" w:type="dxa"/>
            </w:tcMar>
            <w:vAlign w:val="top"/>
          </w:tcPr>
          <w:p>
            <w:pPr>
              <w:pBdr>
                <w:bottom w:val="none" w:space="2"/>
              </w:pBdr>
              <w:spacing w:before="0" w:after="0" w:line="275" w:lineRule="atLeast"/>
            </w:pPr>
            <w:hyperlink r:id="r77">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43" name="Picture 2" descr="Display Key Number Topics"/>
                  <a:graphic>
                    <a:graphicData uri="http://schemas.openxmlformats.org/drawingml/2006/picture">
                      <p:pic>
                        <p:nvPicPr>
                          <p:cNvPr id="44" name="Picture 2" descr="Display Key Number Topics"/>
                          <p:cNvPicPr/>
                        </p:nvPicPr>
                        <p:blipFill>
                          <a:blip r:embed="r13"/>
                          <a:srcRect/>
                          <a:stretch>
                            <a:fillRect/>
                          </a:stretch>
                        </p:blipFill>
                        <p:spPr>
                          <a:xfrm>
                            <a:off x="0" y="0"/>
                            <a:ext cx="133350" cy="76200"/>
                          </a:xfrm>
                          <a:prstGeom prst="rect"/>
                        </p:spPr>
                      </p:pic>
                    </a:graphicData>
                  </a:graphic>
                </wp:inline>
              </w:drawing>
            </w:r>
            <w:hyperlink r:id="r78">
              <w:r>
                <w:rPr>
                  <w:rFonts w:ascii="Times New Roman" w:hAnsi="Times New Roman"/>
                  <w:color w:val="006fc4"/>
                  <w:sz w:val="20"/>
                </w:rPr>
                <w:t>Privilege or immunity</w:t>
              </w:r>
            </w:hyperlink>
          </w:p>
        </w:tc>
      </w:tr>
      <w:bookmarkEnd w:id="107"/>
      <w:bookmarkEnd w:id="106"/>
      <w:bookmarkEnd w:id="10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the Communications Decency Act, there may be several information content providers with respect to a single item of information, each being responsible, at least in part, for its creation or development. Communications Act of 1934 § 230, </w:t>
            </w:r>
            <w:hyperlink r:id="r79">
              <w:r>
                <w:rPr>
                  <w:rFonts w:ascii="Times New Roman" w:hAnsi="Times New Roman"/>
                  <w:color w:val="006fc4"/>
                  <w:sz w:val="20"/>
                </w:rPr>
                <w:t>47 U.S.C.A. § 230(f)(3)</w:t>
              </w:r>
            </w:hyperlink>
            <w:r>
              <w:rPr>
                <w:rFonts w:ascii="Times New Roman" w:hAnsi="Times New Roman"/>
                <w:color w:val="1f1f1f"/>
                <w:sz w:val="20"/>
              </w:rPr>
              <w:t>.</w:t>
            </w:r>
          </w:p>
          <w:bookmarkStart w:id="110" w:name="co_headnoteId_2047886627018202307282142"/>
          <w:p>
            <w:pPr>
              <w:spacing w:before="200" w:after="0" w:line="275" w:lineRule="atLeast"/>
              <w:jc w:val="both"/>
            </w:pPr>
            <w:hyperlink r:id="r80">
              <w:r>
                <w:rPr>
                  <w:rFonts w:ascii="Times New Roman" w:hAnsi="Times New Roman"/>
                  <w:color w:val="006fc4"/>
                  <w:sz w:val="20"/>
                </w:rPr>
                <w:t>1 Case that cites this headnote</w:t>
              </w:r>
            </w:hyperlink>
          </w:p>
          <w:bookmarkEnd w:id="110"/>
        </w:tc>
      </w:tr>
    </w:tbl>
    <w:p>
      <w:pPr>
        <w:spacing w:before="0" w:after="0" w:line="240" w:lineRule="auto"/>
        <w:rPr>
          <w:sz w:val="20"/>
        </w:rPr>
      </w:pPr>
    </w:p>
    <w:tbl>
      <w:tblPr>
        <w:tblInd w:w="30" w:type="dxa"/>
        <w:tblLayout w:type="fixed"/>
      </w:tblPr>
      <w:tblGrid>
        <w:gridCol w:w="600"/>
        <w:gridCol w:w="9450"/>
      </w:tblGrid>
      <w:bookmarkStart w:id="111" w:name="co_anchor_2047886627019_1"/>
      <w:bookmarkStart w:id="112" w:name="Athens_headnoteCell_F182047886627_1"/>
      <w:bookmarkStart w:id="113" w:name="co_headnotesTable_16_1"/>
      <w:tr>
        <w:tblPrEx/>
        <w:trPr/>
        <w:tc>
          <w:tcPr>
            <w:tcMar>
              <w:left w:w="30" w:type="dxa"/>
              <w:right w:w="30" w:type="dxa"/>
            </w:tcMar>
            <w:vAlign w:val="top"/>
          </w:tcPr>
          <w:p>
            <w:pPr>
              <w:spacing w:before="0" w:after="0" w:line="275" w:lineRule="atLeast"/>
            </w:pPr>
            <w:bookmarkStart w:id="114" w:name="co_anchor_F182047886627_1"/>
            <w:bookmarkStart w:id="115" w:name="co_anchor_headNote_[18]_1"/>
            <w:hyperlink w:anchor="co_pp_HNF18_1">
              <w:r>
                <w:rPr>
                  <w:rFonts w:ascii="Times New Roman" w:hAnsi="Times New Roman"/>
                  <w:b/>
                  <w:color w:val="006fc4"/>
                  <w:sz w:val="20"/>
                  <w:vertAlign w:val="superscript"/>
                </w:rPr>
                <w:t>[18]</w:t>
              </w:r>
            </w:hyperlink>
            <w:bookmarkEnd w:id="115"/>
            <w:bookmarkEnd w:id="114"/>
          </w:p>
        </w:tc>
        <w:tc>
          <w:tcPr>
            <w:tcMar>
              <w:left w:w="30" w:type="dxa"/>
              <w:right w:w="30" w:type="dxa"/>
            </w:tcMar>
            <w:vAlign w:val="top"/>
          </w:tcPr>
          <w:p>
            <w:pPr>
              <w:pBdr>
                <w:bottom w:val="none" w:space="2"/>
              </w:pBdr>
              <w:spacing w:before="0" w:after="0" w:line="275" w:lineRule="atLeast"/>
            </w:pPr>
            <w:hyperlink r:id="r81">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45" name="Picture 2" descr="Display Key Number Topics"/>
                  <a:graphic>
                    <a:graphicData uri="http://schemas.openxmlformats.org/drawingml/2006/picture">
                      <p:pic>
                        <p:nvPicPr>
                          <p:cNvPr id="46" name="Picture 2" descr="Display Key Number Topics"/>
                          <p:cNvPicPr/>
                        </p:nvPicPr>
                        <p:blipFill>
                          <a:blip r:embed="r13"/>
                          <a:srcRect/>
                          <a:stretch>
                            <a:fillRect/>
                          </a:stretch>
                        </p:blipFill>
                        <p:spPr>
                          <a:xfrm>
                            <a:off x="0" y="0"/>
                            <a:ext cx="133350" cy="76200"/>
                          </a:xfrm>
                          <a:prstGeom prst="rect"/>
                        </p:spPr>
                      </p:pic>
                    </a:graphicData>
                  </a:graphic>
                </wp:inline>
              </w:drawing>
            </w:r>
            <w:hyperlink r:id="r82">
              <w:r>
                <w:rPr>
                  <w:rFonts w:ascii="Times New Roman" w:hAnsi="Times New Roman"/>
                  <w:color w:val="006fc4"/>
                  <w:sz w:val="20"/>
                </w:rPr>
                <w:t>Privilege or immunity</w:t>
              </w:r>
            </w:hyperlink>
          </w:p>
        </w:tc>
      </w:tr>
      <w:bookmarkEnd w:id="113"/>
      <w:bookmarkEnd w:id="112"/>
      <w:bookmarkEnd w:id="11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Inasmuch as the Communications Decency Act immunizes interactive computer service providers from suit based on information posted by third parties, it should not be construed grudgingly. Communications Act of 1934 § 230, </w:t>
            </w:r>
            <w:hyperlink r:id="r83">
              <w:r>
                <w:rPr>
                  <w:rFonts w:ascii="Times New Roman" w:hAnsi="Times New Roman"/>
                  <w:color w:val="006fc4"/>
                  <w:sz w:val="20"/>
                </w:rPr>
                <w:t>47 U.S.C.A. § 230</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16" w:name="co_headnoteId_2047886627019202307282142"/>
      <w:bookmarkStart w:id="117" w:name="co_anchor_2047886627021_1"/>
      <w:bookmarkStart w:id="118" w:name="Athens_headnoteCell_F192047886627_1"/>
      <w:bookmarkStart w:id="119" w:name="co_headnotesTable_17_1"/>
      <w:tr>
        <w:tblPrEx/>
        <w:trPr/>
        <w:tc>
          <w:tcPr>
            <w:tcMar>
              <w:left w:w="30" w:type="dxa"/>
              <w:right w:w="30" w:type="dxa"/>
            </w:tcMar>
            <w:vAlign w:val="top"/>
          </w:tcPr>
          <w:p>
            <w:pPr>
              <w:spacing w:before="0" w:after="0" w:line="275" w:lineRule="atLeast"/>
            </w:pPr>
            <w:bookmarkStart w:id="120" w:name="co_anchor_F192047886627_1"/>
            <w:bookmarkStart w:id="121" w:name="co_anchor_headNote_[19]_1"/>
            <w:hyperlink w:anchor="co_pp_HNF19_1">
              <w:r>
                <w:rPr>
                  <w:rFonts w:ascii="Times New Roman" w:hAnsi="Times New Roman"/>
                  <w:b/>
                  <w:color w:val="006fc4"/>
                  <w:sz w:val="20"/>
                  <w:vertAlign w:val="superscript"/>
                </w:rPr>
                <w:t>[19]</w:t>
              </w:r>
            </w:hyperlink>
            <w:bookmarkEnd w:id="121"/>
            <w:bookmarkEnd w:id="120"/>
          </w:p>
        </w:tc>
        <w:tc>
          <w:tcPr>
            <w:tcMar>
              <w:left w:w="30" w:type="dxa"/>
              <w:right w:w="30" w:type="dxa"/>
            </w:tcMar>
            <w:vAlign w:val="top"/>
          </w:tcPr>
          <w:p>
            <w:pPr>
              <w:pBdr>
                <w:bottom w:val="none" w:space="2"/>
              </w:pBdr>
              <w:spacing w:before="0" w:after="0" w:line="275" w:lineRule="atLeast"/>
            </w:pPr>
            <w:hyperlink r:id="r84">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47" name="Picture 2" descr="Display Key Number Topics"/>
                  <a:graphic>
                    <a:graphicData uri="http://schemas.openxmlformats.org/drawingml/2006/picture">
                      <p:pic>
                        <p:nvPicPr>
                          <p:cNvPr id="48" name="Picture 2" descr="Display Key Number Topics"/>
                          <p:cNvPicPr/>
                        </p:nvPicPr>
                        <p:blipFill>
                          <a:blip r:embed="r13"/>
                          <a:srcRect/>
                          <a:stretch>
                            <a:fillRect/>
                          </a:stretch>
                        </p:blipFill>
                        <p:spPr>
                          <a:xfrm>
                            <a:off x="0" y="0"/>
                            <a:ext cx="133350" cy="76200"/>
                          </a:xfrm>
                          <a:prstGeom prst="rect"/>
                        </p:spPr>
                      </p:pic>
                    </a:graphicData>
                  </a:graphic>
                </wp:inline>
              </w:drawing>
            </w:r>
            <w:hyperlink r:id="r85">
              <w:r>
                <w:rPr>
                  <w:rFonts w:ascii="Times New Roman" w:hAnsi="Times New Roman"/>
                  <w:color w:val="006fc4"/>
                  <w:sz w:val="20"/>
                </w:rPr>
                <w:t>Particular Cases</w:t>
              </w:r>
            </w:hyperlink>
          </w:p>
        </w:tc>
      </w:tr>
      <w:bookmarkEnd w:id="119"/>
      <w:bookmarkEnd w:id="118"/>
      <w:bookmarkEnd w:id="117"/>
      <w:bookmarkEnd w:id="11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Issue of whether university was immune, pursuant to Communications Decency Act, from disability discrimination claims under Title III of ADA and Rehabilitation Act challenging lack of captioning, for deaf persons, on audiovisual content hosted by university website could not be resolved on motion for judgment on pleadings, in view of dispute as to whether university was content provider with respect to audiovisual content originating with students and faculty members. Rehabilitation Act of 1973 § 504, </w:t>
            </w:r>
            <w:hyperlink r:id="r86">
              <w:r>
                <w:rPr>
                  <w:rFonts w:ascii="Times New Roman" w:hAnsi="Times New Roman"/>
                  <w:color w:val="006fc4"/>
                  <w:sz w:val="20"/>
                </w:rPr>
                <w:t>29 U.S.C.A. § 794</w:t>
              </w:r>
            </w:hyperlink>
            <w:r>
              <w:rPr>
                <w:rFonts w:ascii="Times New Roman" w:hAnsi="Times New Roman"/>
                <w:color w:val="1f1f1f"/>
                <w:sz w:val="20"/>
              </w:rPr>
              <w:t xml:space="preserve">; Americans with Disabilities Act of 1990 § 302, </w:t>
            </w:r>
            <w:hyperlink r:id="r87">
              <w:r>
                <w:rPr>
                  <w:rFonts w:ascii="Times New Roman" w:hAnsi="Times New Roman"/>
                  <w:color w:val="006fc4"/>
                  <w:sz w:val="20"/>
                </w:rPr>
                <w:t>42 U.S.C.A. § 12182(a)</w:t>
              </w:r>
            </w:hyperlink>
            <w:r>
              <w:rPr>
                <w:rFonts w:ascii="Times New Roman" w:hAnsi="Times New Roman"/>
                <w:color w:val="1f1f1f"/>
                <w:sz w:val="20"/>
              </w:rPr>
              <w:t xml:space="preserve">; Communications Act of 1934 § 230, </w:t>
            </w:r>
            <w:hyperlink r:id="r88">
              <w:r>
                <w:rPr>
                  <w:rFonts w:ascii="Times New Roman" w:hAnsi="Times New Roman"/>
                  <w:color w:val="006fc4"/>
                  <w:sz w:val="20"/>
                </w:rPr>
                <w:t>47 U.S.C.A. § 230</w:t>
              </w:r>
            </w:hyperlink>
            <w:r>
              <w:rPr>
                <w:rFonts w:ascii="Times New Roman" w:hAnsi="Times New Roman"/>
                <w:color w:val="1f1f1f"/>
                <w:sz w:val="20"/>
              </w:rPr>
              <w:t>.</w:t>
            </w:r>
          </w:p>
          <w:bookmarkStart w:id="122" w:name="co_headnoteId_2047886627021202307282142"/>
          <w:p>
            <w:pPr>
              <w:spacing w:before="200" w:after="0" w:line="275" w:lineRule="atLeast"/>
              <w:jc w:val="both"/>
            </w:pPr>
            <w:hyperlink r:id="r89">
              <w:r>
                <w:rPr>
                  <w:rFonts w:ascii="Times New Roman" w:hAnsi="Times New Roman"/>
                  <w:color w:val="006fc4"/>
                  <w:sz w:val="20"/>
                </w:rPr>
                <w:t>1 Case that cites this headnote</w:t>
              </w:r>
            </w:hyperlink>
          </w:p>
          <w:bookmarkEnd w:id="122"/>
        </w:tc>
      </w:tr>
    </w:tbl>
    <w:p>
      <w:pPr>
        <w:spacing w:before="0" w:after="0" w:line="240" w:lineRule="auto"/>
        <w:rPr>
          <w:sz w:val="20"/>
        </w:rPr>
      </w:pPr>
    </w:p>
    <w:tbl>
      <w:tblPr>
        <w:tblInd w:w="30" w:type="dxa"/>
        <w:tblLayout w:type="fixed"/>
      </w:tblPr>
      <w:tblGrid>
        <w:gridCol w:w="600"/>
        <w:gridCol w:w="9450"/>
      </w:tblGrid>
      <w:bookmarkStart w:id="123" w:name="co_anchor_2047886627022_1"/>
      <w:bookmarkStart w:id="124" w:name="Athens_headnoteCell_F202047886627_1"/>
      <w:bookmarkStart w:id="125" w:name="co_headnotesTable_18_1"/>
      <w:tr>
        <w:tblPrEx/>
        <w:trPr/>
        <w:tc>
          <w:tcPr>
            <w:tcMar>
              <w:left w:w="30" w:type="dxa"/>
              <w:right w:w="30" w:type="dxa"/>
            </w:tcMar>
            <w:vAlign w:val="top"/>
          </w:tcPr>
          <w:p>
            <w:pPr>
              <w:spacing w:before="0" w:after="0" w:line="275" w:lineRule="atLeast"/>
            </w:pPr>
            <w:bookmarkStart w:id="126" w:name="co_anchor_F202047886627_1"/>
            <w:bookmarkStart w:id="127" w:name="co_anchor_headNote_[20]_1"/>
            <w:hyperlink w:anchor="co_pp_HNF20_1">
              <w:r>
                <w:rPr>
                  <w:rFonts w:ascii="Times New Roman" w:hAnsi="Times New Roman"/>
                  <w:b/>
                  <w:color w:val="006fc4"/>
                  <w:sz w:val="20"/>
                  <w:vertAlign w:val="superscript"/>
                </w:rPr>
                <w:t>[20]</w:t>
              </w:r>
            </w:hyperlink>
            <w:bookmarkEnd w:id="127"/>
            <w:bookmarkEnd w:id="126"/>
          </w:p>
        </w:tc>
        <w:tc>
          <w:tcPr>
            <w:tcMar>
              <w:left w:w="30" w:type="dxa"/>
              <w:right w:w="30" w:type="dxa"/>
            </w:tcMar>
            <w:vAlign w:val="top"/>
          </w:tcPr>
          <w:p>
            <w:pPr>
              <w:pBdr>
                <w:bottom w:val="none" w:space="2"/>
              </w:pBdr>
              <w:spacing w:before="0" w:after="0" w:line="275" w:lineRule="atLeast"/>
            </w:pPr>
            <w:hyperlink r:id="r90">
              <w:r>
                <w:rPr>
                  <w:rFonts w:ascii="Times New Roman" w:hAnsi="Times New Roman"/>
                  <w:b/>
                  <w:color w:val="006fc4"/>
                  <w:sz w:val="20"/>
                </w:rPr>
                <w:t>Civil Rights</w:t>
              </w:r>
            </w:hyperlink>
            <w:r>
              <w:rPr>
                <w:rFonts w:ascii="Times New Roman" w:hAnsi="Times New Roman"/>
                <w:color w:val="1f1f1f"/>
                <w:sz w:val="20"/>
              </w:rPr>
              <w:drawing>
                <wp:inline>
                  <wp:extent cx="133350" cy="76200"/>
                  <wp:docPr id="49" name="Picture 2" descr="Display Key Number Topics"/>
                  <a:graphic>
                    <a:graphicData uri="http://schemas.openxmlformats.org/drawingml/2006/picture">
                      <p:pic>
                        <p:nvPicPr>
                          <p:cNvPr id="50" name="Picture 2" descr="Display Key Number Topics"/>
                          <p:cNvPicPr/>
                        </p:nvPicPr>
                        <p:blipFill>
                          <a:blip r:embed="r13"/>
                          <a:srcRect/>
                          <a:stretch>
                            <a:fillRect/>
                          </a:stretch>
                        </p:blipFill>
                        <p:spPr>
                          <a:xfrm>
                            <a:off x="0" y="0"/>
                            <a:ext cx="133350" cy="76200"/>
                          </a:xfrm>
                          <a:prstGeom prst="rect"/>
                        </p:spPr>
                      </p:pic>
                    </a:graphicData>
                  </a:graphic>
                </wp:inline>
              </w:drawing>
            </w:r>
            <w:hyperlink r:id="r91">
              <w:r>
                <w:rPr>
                  <w:rFonts w:ascii="Times New Roman" w:hAnsi="Times New Roman"/>
                  <w:color w:val="006fc4"/>
                  <w:sz w:val="20"/>
                </w:rPr>
                <w:t>Other particular rights</w:t>
              </w:r>
            </w:hyperlink>
          </w:p>
          <w:p>
            <w:pPr>
              <w:pBdr>
                <w:bottom w:val="none" w:space="2"/>
              </w:pBdr>
              <w:spacing w:before="0" w:after="0" w:line="275" w:lineRule="atLeast"/>
            </w:pPr>
            <w:hyperlink r:id="r92">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51" name="Picture 2" descr="Display Key Number Topics"/>
                  <a:graphic>
                    <a:graphicData uri="http://schemas.openxmlformats.org/drawingml/2006/picture">
                      <p:pic>
                        <p:nvPicPr>
                          <p:cNvPr id="52" name="Picture 2" descr="Display Key Number Topics"/>
                          <p:cNvPicPr/>
                        </p:nvPicPr>
                        <p:blipFill>
                          <a:blip r:embed="r13"/>
                          <a:srcRect/>
                          <a:stretch>
                            <a:fillRect/>
                          </a:stretch>
                        </p:blipFill>
                        <p:spPr>
                          <a:xfrm>
                            <a:off x="0" y="0"/>
                            <a:ext cx="133350" cy="76200"/>
                          </a:xfrm>
                          <a:prstGeom prst="rect"/>
                        </p:spPr>
                      </p:pic>
                    </a:graphicData>
                  </a:graphic>
                </wp:inline>
              </w:drawing>
            </w:r>
            <w:hyperlink r:id="r93">
              <w:r>
                <w:rPr>
                  <w:rFonts w:ascii="Times New Roman" w:hAnsi="Times New Roman"/>
                  <w:color w:val="006fc4"/>
                  <w:sz w:val="20"/>
                </w:rPr>
                <w:t>Privilege or immunity</w:t>
              </w:r>
            </w:hyperlink>
          </w:p>
        </w:tc>
      </w:tr>
      <w:bookmarkEnd w:id="125"/>
      <w:bookmarkEnd w:id="124"/>
      <w:bookmarkEnd w:id="12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Federal and state antidiscrimination statutes are not exempted from the reach of the Communications Decency Act. Communications Act of 1934 § 230, </w:t>
            </w:r>
            <w:hyperlink r:id="r94">
              <w:r>
                <w:rPr>
                  <w:rFonts w:ascii="Times New Roman" w:hAnsi="Times New Roman"/>
                  <w:color w:val="006fc4"/>
                  <w:sz w:val="20"/>
                </w:rPr>
                <w:t>47 U.S.C.A. § 230</w:t>
              </w:r>
            </w:hyperlink>
            <w:r>
              <w:rPr>
                <w:rFonts w:ascii="Times New Roman" w:hAnsi="Times New Roman"/>
                <w:color w:val="1f1f1f"/>
                <w:sz w:val="20"/>
              </w:rPr>
              <w:t>.</w:t>
            </w:r>
          </w:p>
          <w:bookmarkStart w:id="128" w:name="co_headnoteId_2047886627022202307282142"/>
          <w:p>
            <w:pPr>
              <w:spacing w:before="200" w:after="0" w:line="275" w:lineRule="atLeast"/>
              <w:jc w:val="both"/>
            </w:pPr>
            <w:hyperlink r:id="r95">
              <w:r>
                <w:rPr>
                  <w:rFonts w:ascii="Times New Roman" w:hAnsi="Times New Roman"/>
                  <w:color w:val="006fc4"/>
                  <w:sz w:val="20"/>
                </w:rPr>
                <w:t>4 Cases that cite this headnote</w:t>
              </w:r>
            </w:hyperlink>
          </w:p>
          <w:bookmarkEnd w:id="128"/>
        </w:tc>
      </w:tr>
    </w:tbl>
    <w:p>
      <w:pPr>
        <w:spacing w:before="0" w:after="0" w:line="240" w:lineRule="auto"/>
        <w:rPr>
          <w:sz w:val="20"/>
        </w:rPr>
      </w:pPr>
    </w:p>
    <w:tbl>
      <w:tblPr>
        <w:tblInd w:w="30" w:type="dxa"/>
        <w:tblLayout w:type="fixed"/>
      </w:tblPr>
      <w:tblGrid>
        <w:gridCol w:w="600"/>
        <w:gridCol w:w="9450"/>
      </w:tblGrid>
      <w:bookmarkStart w:id="129" w:name="co_anchor_2047886627023_1"/>
      <w:bookmarkStart w:id="130" w:name="Athens_headnoteCell_F212047886627_1"/>
      <w:bookmarkStart w:id="131" w:name="co_headnotesTable_19_1"/>
      <w:tr>
        <w:tblPrEx/>
        <w:trPr/>
        <w:tc>
          <w:tcPr>
            <w:tcMar>
              <w:left w:w="30" w:type="dxa"/>
              <w:right w:w="30" w:type="dxa"/>
            </w:tcMar>
            <w:vAlign w:val="top"/>
          </w:tcPr>
          <w:p>
            <w:pPr>
              <w:spacing w:before="0" w:after="0" w:line="275" w:lineRule="atLeast"/>
            </w:pPr>
            <w:bookmarkStart w:id="132" w:name="co_anchor_F212047886627_1"/>
            <w:bookmarkStart w:id="133" w:name="co_anchor_headNote_[21]_1"/>
            <w:hyperlink w:anchor="co_pp_HNF21_1">
              <w:r>
                <w:rPr>
                  <w:rFonts w:ascii="Times New Roman" w:hAnsi="Times New Roman"/>
                  <w:b/>
                  <w:color w:val="006fc4"/>
                  <w:sz w:val="20"/>
                  <w:vertAlign w:val="superscript"/>
                </w:rPr>
                <w:t>[21]</w:t>
              </w:r>
            </w:hyperlink>
            <w:bookmarkEnd w:id="133"/>
            <w:bookmarkEnd w:id="132"/>
          </w:p>
        </w:tc>
        <w:tc>
          <w:tcPr>
            <w:tcMar>
              <w:left w:w="30" w:type="dxa"/>
              <w:right w:w="30" w:type="dxa"/>
            </w:tcMar>
            <w:vAlign w:val="top"/>
          </w:tcPr>
          <w:p>
            <w:pPr>
              <w:pBdr>
                <w:bottom w:val="none" w:space="2"/>
              </w:pBdr>
              <w:spacing w:before="0" w:after="0" w:line="275" w:lineRule="atLeast"/>
            </w:pPr>
            <w:hyperlink r:id="r96">
              <w:r>
                <w:rPr>
                  <w:rFonts w:ascii="Times New Roman" w:hAnsi="Times New Roman"/>
                  <w:b/>
                  <w:color w:val="006fc4"/>
                  <w:sz w:val="20"/>
                </w:rPr>
                <w:t>Statutes</w:t>
              </w:r>
            </w:hyperlink>
            <w:r>
              <w:rPr>
                <w:rFonts w:ascii="Times New Roman" w:hAnsi="Times New Roman"/>
                <w:color w:val="1f1f1f"/>
                <w:sz w:val="20"/>
              </w:rPr>
              <w:drawing>
                <wp:inline>
                  <wp:extent cx="133350" cy="76200"/>
                  <wp:docPr id="53" name="Picture 2" descr="Display Key Number Topics"/>
                  <a:graphic>
                    <a:graphicData uri="http://schemas.openxmlformats.org/drawingml/2006/picture">
                      <p:pic>
                        <p:nvPicPr>
                          <p:cNvPr id="54" name="Picture 2" descr="Display Key Number Topics"/>
                          <p:cNvPicPr/>
                        </p:nvPicPr>
                        <p:blipFill>
                          <a:blip r:embed="r13"/>
                          <a:srcRect/>
                          <a:stretch>
                            <a:fillRect/>
                          </a:stretch>
                        </p:blipFill>
                        <p:spPr>
                          <a:xfrm>
                            <a:off x="0" y="0"/>
                            <a:ext cx="133350" cy="76200"/>
                          </a:xfrm>
                          <a:prstGeom prst="rect"/>
                        </p:spPr>
                      </p:pic>
                    </a:graphicData>
                  </a:graphic>
                </wp:inline>
              </w:drawing>
            </w:r>
            <w:hyperlink r:id="r97">
              <w:r>
                <w:rPr>
                  <w:rFonts w:ascii="Times New Roman" w:hAnsi="Times New Roman"/>
                  <w:color w:val="006fc4"/>
                  <w:sz w:val="20"/>
                </w:rPr>
                <w:t>Giving effect to statute or language;  construction as written</w:t>
              </w:r>
            </w:hyperlink>
          </w:p>
          <w:p>
            <w:pPr>
              <w:pBdr>
                <w:bottom w:val="none" w:space="2"/>
              </w:pBdr>
              <w:spacing w:before="0" w:after="0" w:line="275" w:lineRule="atLeast"/>
            </w:pPr>
            <w:hyperlink r:id="r98">
              <w:r>
                <w:rPr>
                  <w:rFonts w:ascii="Times New Roman" w:hAnsi="Times New Roman"/>
                  <w:b/>
                  <w:color w:val="006fc4"/>
                  <w:sz w:val="20"/>
                </w:rPr>
                <w:t>Statutes</w:t>
              </w:r>
            </w:hyperlink>
            <w:r>
              <w:rPr>
                <w:rFonts w:ascii="Times New Roman" w:hAnsi="Times New Roman"/>
                <w:color w:val="1f1f1f"/>
                <w:sz w:val="20"/>
              </w:rPr>
              <w:drawing>
                <wp:inline>
                  <wp:extent cx="133350" cy="76200"/>
                  <wp:docPr id="55" name="Picture 2" descr="Display Key Number Topics"/>
                  <a:graphic>
                    <a:graphicData uri="http://schemas.openxmlformats.org/drawingml/2006/picture">
                      <p:pic>
                        <p:nvPicPr>
                          <p:cNvPr id="56" name="Picture 2" descr="Display Key Number Topics"/>
                          <p:cNvPicPr/>
                        </p:nvPicPr>
                        <p:blipFill>
                          <a:blip r:embed="r13"/>
                          <a:srcRect/>
                          <a:stretch>
                            <a:fillRect/>
                          </a:stretch>
                        </p:blipFill>
                        <p:spPr>
                          <a:xfrm>
                            <a:off x="0" y="0"/>
                            <a:ext cx="133350" cy="76200"/>
                          </a:xfrm>
                          <a:prstGeom prst="rect"/>
                        </p:spPr>
                      </p:pic>
                    </a:graphicData>
                  </a:graphic>
                </wp:inline>
              </w:drawing>
            </w:r>
            <w:hyperlink r:id="r99">
              <w:r>
                <w:rPr>
                  <w:rFonts w:ascii="Times New Roman" w:hAnsi="Times New Roman"/>
                  <w:color w:val="006fc4"/>
                  <w:sz w:val="20"/>
                </w:rPr>
                <w:t>Relation to plain, literal, or clear meaning;  ambiguity</w:t>
              </w:r>
            </w:hyperlink>
          </w:p>
        </w:tc>
      </w:tr>
      <w:bookmarkEnd w:id="131"/>
      <w:bookmarkEnd w:id="130"/>
      <w:bookmarkEnd w:id="12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When a statute's language is plain, the sole function of the courts, at least where the disposition required by the text is not absurd, is to enforce it according to its terms.</w:t>
            </w:r>
          </w:p>
        </w:tc>
      </w:tr>
    </w:tbl>
    <w:p>
      <w:pPr>
        <w:spacing w:before="0" w:after="0" w:line="240" w:lineRule="auto"/>
        <w:rPr>
          <w:sz w:val="20"/>
        </w:rPr>
      </w:pPr>
    </w:p>
    <w:tbl>
      <w:tblPr>
        <w:tblInd w:w="30" w:type="dxa"/>
        <w:tblLayout w:type="fixed"/>
      </w:tblPr>
      <w:tblGrid>
        <w:gridCol w:w="600"/>
        <w:gridCol w:w="9450"/>
      </w:tblGrid>
      <w:bookmarkStart w:id="134" w:name="co_headnoteId_2047886627023202307282142"/>
      <w:bookmarkStart w:id="135" w:name="co_anchor_2047886627024_1"/>
      <w:bookmarkStart w:id="136" w:name="Athens_headnoteCell_F222047886627_1"/>
      <w:bookmarkStart w:id="137" w:name="co_headnotesTable_20_1"/>
      <w:tr>
        <w:tblPrEx/>
        <w:trPr/>
        <w:tc>
          <w:tcPr>
            <w:tcMar>
              <w:left w:w="30" w:type="dxa"/>
              <w:right w:w="30" w:type="dxa"/>
            </w:tcMar>
            <w:vAlign w:val="top"/>
          </w:tcPr>
          <w:p>
            <w:pPr>
              <w:spacing w:before="0" w:after="0" w:line="275" w:lineRule="atLeast"/>
            </w:pPr>
            <w:bookmarkStart w:id="138" w:name="co_anchor_F222047886627_1"/>
            <w:bookmarkStart w:id="139" w:name="co_anchor_headNote_[22]_1"/>
            <w:hyperlink w:anchor="co_pp_HNF22_1">
              <w:r>
                <w:rPr>
                  <w:rFonts w:ascii="Times New Roman" w:hAnsi="Times New Roman"/>
                  <w:b/>
                  <w:color w:val="006fc4"/>
                  <w:sz w:val="20"/>
                  <w:vertAlign w:val="superscript"/>
                </w:rPr>
                <w:t>[22]</w:t>
              </w:r>
            </w:hyperlink>
            <w:bookmarkEnd w:id="139"/>
            <w:bookmarkEnd w:id="138"/>
          </w:p>
        </w:tc>
        <w:tc>
          <w:tcPr>
            <w:tcMar>
              <w:left w:w="30" w:type="dxa"/>
              <w:right w:w="30" w:type="dxa"/>
            </w:tcMar>
            <w:vAlign w:val="top"/>
          </w:tcPr>
          <w:p>
            <w:pPr>
              <w:pBdr>
                <w:bottom w:val="none" w:space="2"/>
              </w:pBdr>
              <w:spacing w:before="0" w:after="0" w:line="275" w:lineRule="atLeast"/>
            </w:pPr>
            <w:hyperlink r:id="r100">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57" name="Picture 2" descr="Display Key Number Topics"/>
                  <a:graphic>
                    <a:graphicData uri="http://schemas.openxmlformats.org/drawingml/2006/picture">
                      <p:pic>
                        <p:nvPicPr>
                          <p:cNvPr id="58" name="Picture 2" descr="Display Key Number Topics"/>
                          <p:cNvPicPr/>
                        </p:nvPicPr>
                        <p:blipFill>
                          <a:blip r:embed="r13"/>
                          <a:srcRect/>
                          <a:stretch>
                            <a:fillRect/>
                          </a:stretch>
                        </p:blipFill>
                        <p:spPr>
                          <a:xfrm>
                            <a:off x="0" y="0"/>
                            <a:ext cx="133350" cy="76200"/>
                          </a:xfrm>
                          <a:prstGeom prst="rect"/>
                        </p:spPr>
                      </p:pic>
                    </a:graphicData>
                  </a:graphic>
                </wp:inline>
              </w:drawing>
            </w:r>
            <w:hyperlink r:id="r101">
              <w:r>
                <w:rPr>
                  <w:rFonts w:ascii="Times New Roman" w:hAnsi="Times New Roman"/>
                  <w:color w:val="006fc4"/>
                  <w:sz w:val="20"/>
                </w:rPr>
                <w:t>Privilege or immunity</w:t>
              </w:r>
            </w:hyperlink>
          </w:p>
        </w:tc>
      </w:tr>
      <w:bookmarkEnd w:id="137"/>
      <w:bookmarkEnd w:id="136"/>
      <w:bookmarkEnd w:id="135"/>
      <w:bookmarkEnd w:id="13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Whether the Communications Decency Act immunizes an interactive computer service provider from a given claim does not depend on the form of the asserted cause of action; rather, it depends on whether the cause of action necessarily requires that the service provider be treated as the publisher or speaker of content provided by another. Communications Act of 1934 § 230, </w:t>
            </w:r>
            <w:hyperlink r:id="r102">
              <w:r>
                <w:rPr>
                  <w:rFonts w:ascii="Times New Roman" w:hAnsi="Times New Roman"/>
                  <w:color w:val="006fc4"/>
                  <w:sz w:val="20"/>
                </w:rPr>
                <w:t>47 U.S.C.A. § 230</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40" w:name="co_headnoteId_2047886627024202307282142"/>
      <w:bookmarkStart w:id="141" w:name="co_anchor_2047886627026_1"/>
      <w:bookmarkStart w:id="142" w:name="Athens_headnoteCell_F232047886627_1"/>
      <w:bookmarkStart w:id="143" w:name="co_headnotesTable_21_1"/>
      <w:tr>
        <w:tblPrEx/>
        <w:trPr/>
        <w:tc>
          <w:tcPr>
            <w:tcMar>
              <w:left w:w="30" w:type="dxa"/>
              <w:right w:w="30" w:type="dxa"/>
            </w:tcMar>
            <w:vAlign w:val="top"/>
          </w:tcPr>
          <w:p>
            <w:pPr>
              <w:spacing w:before="0" w:after="0" w:line="275" w:lineRule="atLeast"/>
            </w:pPr>
            <w:bookmarkStart w:id="144" w:name="co_anchor_F232047886627_1"/>
            <w:bookmarkStart w:id="145" w:name="co_anchor_headNote_[23]_1"/>
            <w:hyperlink w:anchor="co_pp_HNF23_1">
              <w:r>
                <w:rPr>
                  <w:rFonts w:ascii="Times New Roman" w:hAnsi="Times New Roman"/>
                  <w:b/>
                  <w:color w:val="006fc4"/>
                  <w:sz w:val="20"/>
                  <w:vertAlign w:val="superscript"/>
                </w:rPr>
                <w:t>[23]</w:t>
              </w:r>
            </w:hyperlink>
            <w:bookmarkEnd w:id="145"/>
            <w:bookmarkEnd w:id="144"/>
          </w:p>
        </w:tc>
        <w:tc>
          <w:tcPr>
            <w:tcMar>
              <w:left w:w="30" w:type="dxa"/>
              <w:right w:w="30" w:type="dxa"/>
            </w:tcMar>
            <w:vAlign w:val="top"/>
          </w:tcPr>
          <w:p>
            <w:pPr>
              <w:pBdr>
                <w:bottom w:val="none" w:space="2"/>
              </w:pBdr>
              <w:spacing w:before="0" w:after="0" w:line="275" w:lineRule="atLeast"/>
            </w:pPr>
            <w:hyperlink r:id="r103">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59" name="Picture 2" descr="Display Key Number Topics"/>
                  <a:graphic>
                    <a:graphicData uri="http://schemas.openxmlformats.org/drawingml/2006/picture">
                      <p:pic>
                        <p:nvPicPr>
                          <p:cNvPr id="60" name="Picture 2" descr="Display Key Number Topics"/>
                          <p:cNvPicPr/>
                        </p:nvPicPr>
                        <p:blipFill>
                          <a:blip r:embed="r13"/>
                          <a:srcRect/>
                          <a:stretch>
                            <a:fillRect/>
                          </a:stretch>
                        </p:blipFill>
                        <p:spPr>
                          <a:xfrm>
                            <a:off x="0" y="0"/>
                            <a:ext cx="133350" cy="76200"/>
                          </a:xfrm>
                          <a:prstGeom prst="rect"/>
                        </p:spPr>
                      </p:pic>
                    </a:graphicData>
                  </a:graphic>
                </wp:inline>
              </w:drawing>
            </w:r>
            <w:hyperlink r:id="r104">
              <w:r>
                <w:rPr>
                  <w:rFonts w:ascii="Times New Roman" w:hAnsi="Times New Roman"/>
                  <w:color w:val="006fc4"/>
                  <w:sz w:val="20"/>
                </w:rPr>
                <w:t>Affirmative Defenses, Raising by Motion to Dismiss</w:t>
              </w:r>
            </w:hyperlink>
          </w:p>
          <w:p>
            <w:pPr>
              <w:pBdr>
                <w:bottom w:val="none" w:space="2"/>
              </w:pBdr>
              <w:spacing w:before="0" w:after="0" w:line="275" w:lineRule="atLeast"/>
            </w:pPr>
            <w:hyperlink r:id="r105">
              <w:r>
                <w:rPr>
                  <w:rFonts w:ascii="Times New Roman" w:hAnsi="Times New Roman"/>
                  <w:b/>
                  <w:color w:val="006fc4"/>
                  <w:sz w:val="20"/>
                </w:rPr>
                <w:t>Federal Preemption</w:t>
              </w:r>
            </w:hyperlink>
            <w:r>
              <w:rPr>
                <w:rFonts w:ascii="Times New Roman" w:hAnsi="Times New Roman"/>
                <w:color w:val="1f1f1f"/>
                <w:sz w:val="20"/>
              </w:rPr>
              <w:drawing>
                <wp:inline>
                  <wp:extent cx="133350" cy="76200"/>
                  <wp:docPr id="61" name="Picture 2" descr="Display Key Number Topics"/>
                  <a:graphic>
                    <a:graphicData uri="http://schemas.openxmlformats.org/drawingml/2006/picture">
                      <p:pic>
                        <p:nvPicPr>
                          <p:cNvPr id="62" name="Picture 2" descr="Display Key Number Topics"/>
                          <p:cNvPicPr/>
                        </p:nvPicPr>
                        <p:blipFill>
                          <a:blip r:embed="r13"/>
                          <a:srcRect/>
                          <a:stretch>
                            <a:fillRect/>
                          </a:stretch>
                        </p:blipFill>
                        <p:spPr>
                          <a:xfrm>
                            <a:off x="0" y="0"/>
                            <a:ext cx="133350" cy="76200"/>
                          </a:xfrm>
                          <a:prstGeom prst="rect"/>
                        </p:spPr>
                      </p:pic>
                    </a:graphicData>
                  </a:graphic>
                </wp:inline>
              </w:drawing>
            </w:r>
            <w:hyperlink r:id="r106">
              <w:r>
                <w:rPr>
                  <w:rFonts w:ascii="Times New Roman" w:hAnsi="Times New Roman"/>
                  <w:color w:val="006fc4"/>
                  <w:sz w:val="20"/>
                </w:rPr>
                <w:t>Telecommunications</w:t>
              </w:r>
            </w:hyperlink>
          </w:p>
          <w:p>
            <w:pPr>
              <w:pBdr>
                <w:bottom w:val="none" w:space="2"/>
              </w:pBdr>
              <w:spacing w:before="0" w:after="0" w:line="275" w:lineRule="atLeast"/>
            </w:pPr>
            <w:hyperlink r:id="r107">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63" name="Picture 2" descr="Display Key Number Topics"/>
                  <a:graphic>
                    <a:graphicData uri="http://schemas.openxmlformats.org/drawingml/2006/picture">
                      <p:pic>
                        <p:nvPicPr>
                          <p:cNvPr id="64" name="Picture 2" descr="Display Key Number Topics"/>
                          <p:cNvPicPr/>
                        </p:nvPicPr>
                        <p:blipFill>
                          <a:blip r:embed="r13"/>
                          <a:srcRect/>
                          <a:stretch>
                            <a:fillRect/>
                          </a:stretch>
                        </p:blipFill>
                        <p:spPr>
                          <a:xfrm>
                            <a:off x="0" y="0"/>
                            <a:ext cx="133350" cy="76200"/>
                          </a:xfrm>
                          <a:prstGeom prst="rect"/>
                        </p:spPr>
                      </p:pic>
                    </a:graphicData>
                  </a:graphic>
                </wp:inline>
              </w:drawing>
            </w:r>
            <w:hyperlink r:id="r108">
              <w:r>
                <w:rPr>
                  <w:rFonts w:ascii="Times New Roman" w:hAnsi="Times New Roman"/>
                  <w:color w:val="006fc4"/>
                  <w:sz w:val="20"/>
                </w:rPr>
                <w:t>Relationship Between Federal, State, and Local Laws; Preemption</w:t>
              </w:r>
            </w:hyperlink>
          </w:p>
        </w:tc>
      </w:tr>
      <w:bookmarkEnd w:id="143"/>
      <w:bookmarkEnd w:id="142"/>
      <w:bookmarkEnd w:id="141"/>
      <w:bookmarkEnd w:id="14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Preemption under the Communications Decency Act is an affirmative defense, but it can still support a motion to dismiss if the statute's barrier to suit is evident from the face of the complaint. Communications Act of 1934 § 230, </w:t>
            </w:r>
            <w:hyperlink r:id="r109">
              <w:r>
                <w:rPr>
                  <w:rFonts w:ascii="Times New Roman" w:hAnsi="Times New Roman"/>
                  <w:color w:val="006fc4"/>
                  <w:sz w:val="20"/>
                </w:rPr>
                <w:t>47 U.S.C.A. § 230</w:t>
              </w:r>
            </w:hyperlink>
            <w:r>
              <w:rPr>
                <w:rFonts w:ascii="Times New Roman" w:hAnsi="Times New Roman"/>
                <w:color w:val="1f1f1f"/>
                <w:sz w:val="20"/>
              </w:rPr>
              <w:t xml:space="preserve">; </w:t>
            </w:r>
            <w:hyperlink r:id="r110">
              <w:r>
                <w:rPr>
                  <w:rFonts w:ascii="Times New Roman" w:hAnsi="Times New Roman"/>
                  <w:color w:val="006fc4"/>
                  <w:sz w:val="20"/>
                </w:rPr>
                <w:t>Fed. R. Civ. P. 12(b)(6)</w:t>
              </w:r>
            </w:hyperlink>
            <w:r>
              <w:rPr>
                <w:rFonts w:ascii="Times New Roman" w:hAnsi="Times New Roman"/>
                <w:color w:val="1f1f1f"/>
                <w:sz w:val="20"/>
              </w:rPr>
              <w:t>.</w:t>
            </w:r>
          </w:p>
          <w:bookmarkStart w:id="146" w:name="co_headnoteId_2047886627026202307282142"/>
          <w:p>
            <w:pPr>
              <w:spacing w:before="200" w:after="0" w:line="275" w:lineRule="atLeast"/>
              <w:jc w:val="both"/>
            </w:pPr>
            <w:hyperlink r:id="r111">
              <w:r>
                <w:rPr>
                  <w:rFonts w:ascii="Times New Roman" w:hAnsi="Times New Roman"/>
                  <w:color w:val="006fc4"/>
                  <w:sz w:val="20"/>
                </w:rPr>
                <w:t>3 Cases that cite this headnote</w:t>
              </w:r>
            </w:hyperlink>
          </w:p>
          <w:bookmarkEnd w:id="146"/>
        </w:tc>
      </w:tr>
    </w:tbl>
    <w:p>
      <w:pPr>
        <w:spacing w:before="0" w:after="0" w:line="240" w:lineRule="auto"/>
        <w:rPr>
          <w:sz w:val="20"/>
        </w:rPr>
      </w:pPr>
    </w:p>
    <w:tbl>
      <w:tblPr>
        <w:tblInd w:w="30" w:type="dxa"/>
        <w:tblLayout w:type="fixed"/>
      </w:tblPr>
      <w:tblGrid>
        <w:gridCol w:w="600"/>
        <w:gridCol w:w="9450"/>
      </w:tblGrid>
      <w:bookmarkStart w:id="147" w:name="co_anchor_2047886627027_1"/>
      <w:bookmarkStart w:id="148" w:name="Athens_headnoteCell_F242047886627_1"/>
      <w:bookmarkStart w:id="149" w:name="co_headnotesTable_22_1"/>
      <w:tr>
        <w:tblPrEx/>
        <w:trPr/>
        <w:tc>
          <w:tcPr>
            <w:tcMar>
              <w:left w:w="30" w:type="dxa"/>
              <w:right w:w="30" w:type="dxa"/>
            </w:tcMar>
            <w:vAlign w:val="top"/>
          </w:tcPr>
          <w:p>
            <w:pPr>
              <w:spacing w:before="0" w:after="0" w:line="275" w:lineRule="atLeast"/>
            </w:pPr>
            <w:bookmarkStart w:id="150" w:name="co_anchor_F242047886627_1"/>
            <w:bookmarkStart w:id="151" w:name="co_anchor_headNote_[24]_1"/>
            <w:hyperlink w:anchor="co_pp_HNF24_1">
              <w:r>
                <w:rPr>
                  <w:rFonts w:ascii="Times New Roman" w:hAnsi="Times New Roman"/>
                  <w:b/>
                  <w:color w:val="006fc4"/>
                  <w:sz w:val="20"/>
                  <w:vertAlign w:val="superscript"/>
                </w:rPr>
                <w:t>[24]</w:t>
              </w:r>
            </w:hyperlink>
            <w:bookmarkEnd w:id="151"/>
            <w:bookmarkEnd w:id="150"/>
          </w:p>
        </w:tc>
        <w:tc>
          <w:tcPr>
            <w:tcMar>
              <w:left w:w="30" w:type="dxa"/>
              <w:right w:w="30" w:type="dxa"/>
            </w:tcMar>
            <w:vAlign w:val="top"/>
          </w:tcPr>
          <w:p>
            <w:pPr>
              <w:pBdr>
                <w:bottom w:val="none" w:space="2"/>
              </w:pBdr>
              <w:spacing w:before="0" w:after="0" w:line="275" w:lineRule="atLeast"/>
            </w:pPr>
            <w:hyperlink r:id="r112">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65" name="Picture 2" descr="Display Key Number Topics"/>
                  <a:graphic>
                    <a:graphicData uri="http://schemas.openxmlformats.org/drawingml/2006/picture">
                      <p:pic>
                        <p:nvPicPr>
                          <p:cNvPr id="66" name="Picture 2" descr="Display Key Number Topics"/>
                          <p:cNvPicPr/>
                        </p:nvPicPr>
                        <p:blipFill>
                          <a:blip r:embed="r13"/>
                          <a:srcRect/>
                          <a:stretch>
                            <a:fillRect/>
                          </a:stretch>
                        </p:blipFill>
                        <p:spPr>
                          <a:xfrm>
                            <a:off x="0" y="0"/>
                            <a:ext cx="133350" cy="76200"/>
                          </a:xfrm>
                          <a:prstGeom prst="rect"/>
                        </p:spPr>
                      </p:pic>
                    </a:graphicData>
                  </a:graphic>
                </wp:inline>
              </w:drawing>
            </w:r>
            <w:hyperlink r:id="r113">
              <w:r>
                <w:rPr>
                  <w:rFonts w:ascii="Times New Roman" w:hAnsi="Times New Roman"/>
                  <w:color w:val="006fc4"/>
                  <w:sz w:val="20"/>
                </w:rPr>
                <w:t>Affirmative defense or avoidance, effect of</w:t>
              </w:r>
            </w:hyperlink>
          </w:p>
          <w:p>
            <w:pPr>
              <w:pBdr>
                <w:bottom w:val="none" w:space="2"/>
              </w:pBdr>
              <w:spacing w:before="0" w:after="0" w:line="275" w:lineRule="atLeast"/>
            </w:pPr>
            <w:hyperlink r:id="r114">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67" name="Picture 2" descr="Display Key Number Topics"/>
                  <a:graphic>
                    <a:graphicData uri="http://schemas.openxmlformats.org/drawingml/2006/picture">
                      <p:pic>
                        <p:nvPicPr>
                          <p:cNvPr id="68" name="Picture 2" descr="Display Key Number Topics"/>
                          <p:cNvPicPr/>
                        </p:nvPicPr>
                        <p:blipFill>
                          <a:blip r:embed="r13"/>
                          <a:srcRect/>
                          <a:stretch>
                            <a:fillRect/>
                          </a:stretch>
                        </p:blipFill>
                        <p:spPr>
                          <a:xfrm>
                            <a:off x="0" y="0"/>
                            <a:ext cx="133350" cy="76200"/>
                          </a:xfrm>
                          <a:prstGeom prst="rect"/>
                        </p:spPr>
                      </p:pic>
                    </a:graphicData>
                  </a:graphic>
                </wp:inline>
              </w:drawing>
            </w:r>
            <w:hyperlink r:id="r115">
              <w:r>
                <w:rPr>
                  <w:rFonts w:ascii="Times New Roman" w:hAnsi="Times New Roman"/>
                  <w:color w:val="006fc4"/>
                  <w:sz w:val="20"/>
                </w:rPr>
                <w:t>Affirmative Defenses, Raising by Motion to Dismiss</w:t>
              </w:r>
            </w:hyperlink>
          </w:p>
        </w:tc>
      </w:tr>
      <w:bookmarkEnd w:id="149"/>
      <w:bookmarkEnd w:id="148"/>
      <w:bookmarkEnd w:id="14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Where a court grants a motion for judgment on the pleadings or a motion to dismiss for failure to state a claim based on an affirmative defense, the facts establishing that defense must: (1) be definitively ascertainable from the complaint and other allowable sources of information, and (2) suffice to establish the affirmative defense with certitude. </w:t>
            </w:r>
            <w:hyperlink r:id="r116">
              <w:r>
                <w:rPr>
                  <w:rFonts w:ascii="Times New Roman" w:hAnsi="Times New Roman"/>
                  <w:color w:val="006fc4"/>
                  <w:sz w:val="20"/>
                </w:rPr>
                <w:t>Fed. R. Civ. P. 12(b)(6), 12(c)</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52" w:name="co_headnoteId_2047886627027202307282142"/>
      <w:bookmarkStart w:id="153" w:name="co_anchor_2047886627028_1"/>
      <w:bookmarkStart w:id="154" w:name="Athens_headnoteCell_F252047886627_1"/>
      <w:bookmarkStart w:id="155" w:name="co_headnotesTable_23_1"/>
      <w:tr>
        <w:tblPrEx/>
        <w:trPr/>
        <w:tc>
          <w:tcPr>
            <w:tcMar>
              <w:left w:w="30" w:type="dxa"/>
              <w:right w:w="30" w:type="dxa"/>
            </w:tcMar>
            <w:vAlign w:val="top"/>
          </w:tcPr>
          <w:p>
            <w:pPr>
              <w:spacing w:before="0" w:after="0" w:line="275" w:lineRule="atLeast"/>
            </w:pPr>
            <w:bookmarkStart w:id="156" w:name="co_anchor_F252047886627_1"/>
            <w:bookmarkStart w:id="157" w:name="co_anchor_headNote_[25]_1"/>
            <w:hyperlink w:anchor="co_pp_HNF25_1">
              <w:r>
                <w:rPr>
                  <w:rFonts w:ascii="Times New Roman" w:hAnsi="Times New Roman"/>
                  <w:b/>
                  <w:color w:val="006fc4"/>
                  <w:sz w:val="20"/>
                  <w:vertAlign w:val="superscript"/>
                </w:rPr>
                <w:t>[25]</w:t>
              </w:r>
            </w:hyperlink>
            <w:bookmarkEnd w:id="157"/>
            <w:bookmarkEnd w:id="156"/>
          </w:p>
        </w:tc>
        <w:tc>
          <w:tcPr>
            <w:tcMar>
              <w:left w:w="30" w:type="dxa"/>
              <w:right w:w="30" w:type="dxa"/>
            </w:tcMar>
            <w:vAlign w:val="top"/>
          </w:tcPr>
          <w:p>
            <w:pPr>
              <w:pBdr>
                <w:bottom w:val="none" w:space="2"/>
              </w:pBdr>
              <w:spacing w:before="0" w:after="0" w:line="275" w:lineRule="atLeast"/>
            </w:pPr>
            <w:hyperlink r:id="r117">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69" name="Picture 2" descr="Display Key Number Topics"/>
                  <a:graphic>
                    <a:graphicData uri="http://schemas.openxmlformats.org/drawingml/2006/picture">
                      <p:pic>
                        <p:nvPicPr>
                          <p:cNvPr id="70" name="Picture 2" descr="Display Key Number Topics"/>
                          <p:cNvPicPr/>
                        </p:nvPicPr>
                        <p:blipFill>
                          <a:blip r:embed="r13"/>
                          <a:srcRect/>
                          <a:stretch>
                            <a:fillRect/>
                          </a:stretch>
                        </p:blipFill>
                        <p:spPr>
                          <a:xfrm>
                            <a:off x="0" y="0"/>
                            <a:ext cx="133350" cy="76200"/>
                          </a:xfrm>
                          <a:prstGeom prst="rect"/>
                        </p:spPr>
                      </p:pic>
                    </a:graphicData>
                  </a:graphic>
                </wp:inline>
              </w:drawing>
            </w:r>
            <w:hyperlink r:id="r118">
              <w:r>
                <w:rPr>
                  <w:rFonts w:ascii="Times New Roman" w:hAnsi="Times New Roman"/>
                  <w:color w:val="006fc4"/>
                  <w:sz w:val="20"/>
                </w:rPr>
                <w:t>Anticipating defenses</w:t>
              </w:r>
            </w:hyperlink>
          </w:p>
        </w:tc>
      </w:tr>
      <w:bookmarkEnd w:id="155"/>
      <w:bookmarkEnd w:id="154"/>
      <w:bookmarkEnd w:id="153"/>
      <w:bookmarkEnd w:id="15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 plaintiff is not required to anticipate and plead around affirmative defenses raised by a defendant.</w:t>
            </w:r>
          </w:p>
          <w:bookmarkStart w:id="158" w:name="co_headnoteId_2047886627028202307282142"/>
          <w:p>
            <w:pPr>
              <w:spacing w:before="200" w:after="0" w:line="275" w:lineRule="atLeast"/>
              <w:jc w:val="both"/>
            </w:pPr>
            <w:hyperlink r:id="r119">
              <w:r>
                <w:rPr>
                  <w:rFonts w:ascii="Times New Roman" w:hAnsi="Times New Roman"/>
                  <w:color w:val="006fc4"/>
                  <w:sz w:val="20"/>
                </w:rPr>
                <w:t>2 Cases that cite this headnote</w:t>
              </w:r>
            </w:hyperlink>
          </w:p>
          <w:bookmarkEnd w:id="158"/>
        </w:tc>
      </w:tr>
    </w:tbl>
    <w:p>
      <w:pPr>
        <w:spacing w:before="0" w:after="0" w:line="240" w:lineRule="auto"/>
        <w:rPr>
          <w:sz w:val="20"/>
        </w:rPr>
      </w:pPr>
    </w:p>
    <w:tbl>
      <w:tblPr>
        <w:tblInd w:w="30" w:type="dxa"/>
        <w:tblLayout w:type="fixed"/>
      </w:tblPr>
      <w:tblGrid>
        <w:gridCol w:w="600"/>
        <w:gridCol w:w="9450"/>
      </w:tblGrid>
      <w:bookmarkStart w:id="159" w:name="co_anchor_2047886627029_1"/>
      <w:bookmarkStart w:id="160" w:name="Athens_headnoteCell_F262047886627_1"/>
      <w:bookmarkStart w:id="161" w:name="co_headnotesTable_24_1"/>
      <w:tr>
        <w:tblPrEx/>
        <w:trPr/>
        <w:tc>
          <w:tcPr>
            <w:tcMar>
              <w:left w:w="30" w:type="dxa"/>
              <w:right w:w="30" w:type="dxa"/>
            </w:tcMar>
            <w:vAlign w:val="top"/>
          </w:tcPr>
          <w:p>
            <w:pPr>
              <w:spacing w:before="0" w:after="0" w:line="275" w:lineRule="atLeast"/>
            </w:pPr>
            <w:bookmarkStart w:id="162" w:name="co_anchor_F262047886627_1"/>
            <w:bookmarkStart w:id="163" w:name="co_anchor_headNote_[26]_1"/>
            <w:hyperlink w:anchor="co_pp_HNF26_1">
              <w:r>
                <w:rPr>
                  <w:rFonts w:ascii="Times New Roman" w:hAnsi="Times New Roman"/>
                  <w:b/>
                  <w:color w:val="006fc4"/>
                  <w:sz w:val="20"/>
                  <w:vertAlign w:val="superscript"/>
                </w:rPr>
                <w:t>[26]</w:t>
              </w:r>
            </w:hyperlink>
            <w:bookmarkEnd w:id="163"/>
            <w:bookmarkEnd w:id="162"/>
          </w:p>
        </w:tc>
        <w:tc>
          <w:tcPr>
            <w:tcMar>
              <w:left w:w="30" w:type="dxa"/>
              <w:right w:w="30" w:type="dxa"/>
            </w:tcMar>
            <w:vAlign w:val="top"/>
          </w:tcPr>
          <w:p>
            <w:pPr>
              <w:pBdr>
                <w:bottom w:val="none" w:space="2"/>
              </w:pBdr>
              <w:spacing w:before="0" w:after="0" w:line="275" w:lineRule="atLeast"/>
            </w:pPr>
            <w:hyperlink r:id="r120">
              <w:r>
                <w:rPr>
                  <w:rFonts w:ascii="Times New Roman" w:hAnsi="Times New Roman"/>
                  <w:b/>
                  <w:color w:val="006fc4"/>
                  <w:sz w:val="20"/>
                </w:rPr>
                <w:t>Telecommunications</w:t>
              </w:r>
            </w:hyperlink>
            <w:r>
              <w:rPr>
                <w:rFonts w:ascii="Times New Roman" w:hAnsi="Times New Roman"/>
                <w:color w:val="1f1f1f"/>
                <w:sz w:val="20"/>
              </w:rPr>
              <w:drawing>
                <wp:inline>
                  <wp:extent cx="133350" cy="76200"/>
                  <wp:docPr id="71" name="Picture 2" descr="Display Key Number Topics"/>
                  <a:graphic>
                    <a:graphicData uri="http://schemas.openxmlformats.org/drawingml/2006/picture">
                      <p:pic>
                        <p:nvPicPr>
                          <p:cNvPr id="72" name="Picture 2" descr="Display Key Number Topics"/>
                          <p:cNvPicPr/>
                        </p:nvPicPr>
                        <p:blipFill>
                          <a:blip r:embed="r13"/>
                          <a:srcRect/>
                          <a:stretch>
                            <a:fillRect/>
                          </a:stretch>
                        </p:blipFill>
                        <p:spPr>
                          <a:xfrm>
                            <a:off x="0" y="0"/>
                            <a:ext cx="133350" cy="76200"/>
                          </a:xfrm>
                          <a:prstGeom prst="rect"/>
                        </p:spPr>
                      </p:pic>
                    </a:graphicData>
                  </a:graphic>
                </wp:inline>
              </w:drawing>
            </w:r>
            <w:hyperlink r:id="r121">
              <w:r>
                <w:rPr>
                  <w:rFonts w:ascii="Times New Roman" w:hAnsi="Times New Roman"/>
                  <w:color w:val="006fc4"/>
                  <w:sz w:val="20"/>
                </w:rPr>
                <w:t>Privilege or immunity</w:t>
              </w:r>
            </w:hyperlink>
          </w:p>
        </w:tc>
      </w:tr>
      <w:bookmarkEnd w:id="161"/>
      <w:bookmarkEnd w:id="160"/>
      <w:bookmarkEnd w:id="15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University was entitled to immunity, pursuant to Communications Decency Act, from disability discrimination claims under Title III of ADA and Rehabilitation Act, inasmuch as claims challenged lack of accurate captioning, for deaf persons, on third-party audiovisual content embedded on university website, since university was publisher and not information content provider with regard to such content. Rehabilitation Act of 1973 § 504, </w:t>
            </w:r>
            <w:hyperlink r:id="r122">
              <w:r>
                <w:rPr>
                  <w:rFonts w:ascii="Times New Roman" w:hAnsi="Times New Roman"/>
                  <w:color w:val="006fc4"/>
                  <w:sz w:val="20"/>
                </w:rPr>
                <w:t>29 U.S.C.A. § 794</w:t>
              </w:r>
            </w:hyperlink>
            <w:r>
              <w:rPr>
                <w:rFonts w:ascii="Times New Roman" w:hAnsi="Times New Roman"/>
                <w:color w:val="1f1f1f"/>
                <w:sz w:val="20"/>
              </w:rPr>
              <w:t xml:space="preserve">; Americans with Disabilities Act of 1990 § 302, </w:t>
            </w:r>
            <w:hyperlink r:id="r123">
              <w:r>
                <w:rPr>
                  <w:rFonts w:ascii="Times New Roman" w:hAnsi="Times New Roman"/>
                  <w:color w:val="006fc4"/>
                  <w:sz w:val="20"/>
                </w:rPr>
                <w:t>42 U.S.C.A. § 12182(a)</w:t>
              </w:r>
            </w:hyperlink>
            <w:r>
              <w:rPr>
                <w:rFonts w:ascii="Times New Roman" w:hAnsi="Times New Roman"/>
                <w:color w:val="1f1f1f"/>
                <w:sz w:val="20"/>
              </w:rPr>
              <w:t xml:space="preserve">; Communications Act of 1934 § 230, </w:t>
            </w:r>
            <w:hyperlink r:id="r124">
              <w:r>
                <w:rPr>
                  <w:rFonts w:ascii="Times New Roman" w:hAnsi="Times New Roman"/>
                  <w:color w:val="006fc4"/>
                  <w:sz w:val="20"/>
                </w:rPr>
                <w:t>47 U.S.C.A. § 230</w:t>
              </w:r>
            </w:hyperlink>
            <w:r>
              <w:rPr>
                <w:rFonts w:ascii="Times New Roman" w:hAnsi="Times New Roman"/>
                <w:color w:val="1f1f1f"/>
                <w:sz w:val="20"/>
              </w:rPr>
              <w:t>.</w:t>
            </w:r>
          </w:p>
          <w:bookmarkStart w:id="164" w:name="co_headnoteId_2047886627029202307282142"/>
          <w:p>
            <w:pPr>
              <w:spacing w:before="200" w:after="0" w:line="275" w:lineRule="atLeast"/>
              <w:jc w:val="both"/>
            </w:pPr>
            <w:hyperlink r:id="r125">
              <w:r>
                <w:rPr>
                  <w:rFonts w:ascii="Times New Roman" w:hAnsi="Times New Roman"/>
                  <w:color w:val="006fc4"/>
                  <w:sz w:val="20"/>
                </w:rPr>
                <w:t>2 Cases that cite this headnote</w:t>
              </w:r>
            </w:hyperlink>
          </w:p>
          <w:bookmarkEnd w:id="164"/>
        </w:tc>
      </w:tr>
    </w:tbl>
    <w:p>
      <w:pPr>
        <w:pBdr>
          <w:top w:val="none" w:space="4"/>
        </w:pBdr>
        <w:spacing w:before="200" w:after="0" w:line="275" w:lineRule="atLeast"/>
        <w:jc w:val="both"/>
      </w:pPr>
      <w:bookmarkStart w:id="165" w:name="co_headnotesEnd_1"/>
      <w:bookmarkEnd w:id="165"/>
    </w:p>
    <w:bookmarkStart w:id="166" w:name="co_attorneysAndLawFirms_1"/>
    <w:p>
      <w:pPr>
        <w:keepNext/>
        <w:keepLines/>
        <w:spacing w:before="200" w:after="0" w:line="275" w:lineRule="atLeast"/>
        <w:jc w:val="both"/>
      </w:pPr>
      <w:r>
        <w:rPr>
          <w:rFonts w:ascii="Times New Roman" w:hAnsi="Times New Roman"/>
          <w:b/>
          <w:color w:val="212121"/>
          <w:sz w:val="20"/>
        </w:rPr>
        <w:t>Attorneys and Law Firms</w:t>
      </w:r>
    </w:p>
    <w:bookmarkEnd w:id="166"/>
    <w:p>
      <w:pPr>
        <w:spacing w:before="200" w:after="0" w:line="275" w:lineRule="atLeast"/>
        <w:jc w:val="both"/>
      </w:pPr>
      <w:bookmarkStart w:id="167" w:name="co_pp_sp_7903_52_1"/>
      <w:r>
        <w:rPr>
          <w:rFonts w:ascii="Times New Roman" w:hAnsi="Times New Roman"/>
          <w:b/>
          <w:color w:val="000000"/>
          <w:sz w:val="20"/>
        </w:rPr>
        <w:t>*52</w:t>
      </w:r>
      <w:bookmarkEnd w:id="167"/>
      <w:r>
        <w:rPr>
          <w:rFonts w:ascii="Times New Roman" w:hAnsi="Times New Roman"/>
          <w:color w:val="1f1f1f"/>
          <w:sz w:val="20"/>
        </w:rPr>
        <w:t xml:space="preserve"> </w:t>
      </w:r>
      <w:hyperlink r:id="r126">
        <w:r>
          <w:rPr>
            <w:rFonts w:ascii="Times New Roman" w:hAnsi="Times New Roman"/>
            <w:color w:val="006fc4"/>
            <w:sz w:val="20"/>
          </w:rPr>
          <w:t>Amy F. Robertson</w:t>
        </w:r>
      </w:hyperlink>
      <w:r>
        <w:rPr>
          <w:rFonts w:ascii="Times New Roman" w:hAnsi="Times New Roman"/>
          <w:color w:val="1f1f1f"/>
          <w:sz w:val="20"/>
        </w:rPr>
        <w:t xml:space="preserve">, Pro Hac Vice, </w:t>
      </w:r>
      <w:hyperlink r:id="r127">
        <w:r>
          <w:rPr>
            <w:rFonts w:ascii="Times New Roman" w:hAnsi="Times New Roman"/>
            <w:color w:val="006fc4"/>
            <w:sz w:val="20"/>
          </w:rPr>
          <w:t>Timothy P. Fox</w:t>
        </w:r>
      </w:hyperlink>
      <w:r>
        <w:rPr>
          <w:rFonts w:ascii="Times New Roman" w:hAnsi="Times New Roman"/>
          <w:color w:val="1f1f1f"/>
          <w:sz w:val="20"/>
        </w:rPr>
        <w:t xml:space="preserve">, Pro Hac Vice, Civil Rights Education and Enforcement Center, Denver, CO, Arlene B. Mayerson, Pro Hac Vice, Disability Rights Education and Defense Fund, Inc., </w:t>
      </w:r>
      <w:hyperlink r:id="r128">
        <w:r>
          <w:rPr>
            <w:rFonts w:ascii="Times New Roman" w:hAnsi="Times New Roman"/>
            <w:color w:val="006fc4"/>
            <w:sz w:val="20"/>
          </w:rPr>
          <w:t>Bill Lann Lee</w:t>
        </w:r>
      </w:hyperlink>
      <w:r>
        <w:rPr>
          <w:rFonts w:ascii="Times New Roman" w:hAnsi="Times New Roman"/>
          <w:color w:val="1f1f1f"/>
          <w:sz w:val="20"/>
        </w:rPr>
        <w:t xml:space="preserve">, Civil Rights Education and Enforcement Center, Berkeley, CA, </w:t>
      </w:r>
      <w:hyperlink r:id="r129">
        <w:r>
          <w:rPr>
            <w:rFonts w:ascii="Times New Roman" w:hAnsi="Times New Roman"/>
            <w:color w:val="006fc4"/>
            <w:sz w:val="20"/>
          </w:rPr>
          <w:t>Caroline Jackson</w:t>
        </w:r>
      </w:hyperlink>
      <w:r>
        <w:rPr>
          <w:rFonts w:ascii="Times New Roman" w:hAnsi="Times New Roman"/>
          <w:color w:val="1f1f1f"/>
          <w:sz w:val="20"/>
        </w:rPr>
        <w:t xml:space="preserve">, Pro Hac Vice, </w:t>
      </w:r>
      <w:hyperlink r:id="r130">
        <w:r>
          <w:rPr>
            <w:rFonts w:ascii="Times New Roman" w:hAnsi="Times New Roman"/>
            <w:color w:val="006fc4"/>
            <w:sz w:val="20"/>
          </w:rPr>
          <w:t>Marc P. Charmatz</w:t>
        </w:r>
      </w:hyperlink>
      <w:r>
        <w:rPr>
          <w:rFonts w:ascii="Times New Roman" w:hAnsi="Times New Roman"/>
          <w:color w:val="1f1f1f"/>
          <w:sz w:val="20"/>
        </w:rPr>
        <w:t xml:space="preserve">, The National Association of the Deaf Law and Advocacy Center, Silver Spring, MD, </w:t>
      </w:r>
      <w:hyperlink r:id="r131">
        <w:r>
          <w:rPr>
            <w:rFonts w:ascii="Times New Roman" w:hAnsi="Times New Roman"/>
            <w:color w:val="006fc4"/>
            <w:sz w:val="20"/>
          </w:rPr>
          <w:t>Joseph M. Sellers</w:t>
        </w:r>
      </w:hyperlink>
      <w:r>
        <w:rPr>
          <w:rFonts w:ascii="Times New Roman" w:hAnsi="Times New Roman"/>
          <w:color w:val="1f1f1f"/>
          <w:sz w:val="20"/>
        </w:rPr>
        <w:t xml:space="preserve">, Pro Hac Vice, Shaylyn Cochran, Pro Hac Vice, Cohen Milstein Sellers &amp; Toll PLLC, Washington, DC, Namita Gupta, Pro Hac Vice, Disability Rights Education and Defense Fund, Berkely, CA, </w:t>
      </w:r>
      <w:hyperlink r:id="r132">
        <w:r>
          <w:rPr>
            <w:rFonts w:ascii="Times New Roman" w:hAnsi="Times New Roman"/>
            <w:color w:val="006fc4"/>
            <w:sz w:val="20"/>
          </w:rPr>
          <w:t>Thomas P. Murphy</w:t>
        </w:r>
      </w:hyperlink>
      <w:r>
        <w:rPr>
          <w:rFonts w:ascii="Times New Roman" w:hAnsi="Times New Roman"/>
          <w:color w:val="1f1f1f"/>
          <w:sz w:val="20"/>
        </w:rPr>
        <w:t>, Disability Law Center, Inc., Northampton, MA, for Plaintiffs.</w:t>
      </w:r>
    </w:p>
    <w:p>
      <w:pPr>
        <w:spacing w:before="200" w:after="0" w:line="275" w:lineRule="atLeast"/>
        <w:jc w:val="both"/>
      </w:pPr>
      <w:hyperlink r:id="r133">
        <w:r>
          <w:rPr>
            <w:rFonts w:ascii="Times New Roman" w:hAnsi="Times New Roman"/>
            <w:color w:val="006fc4"/>
            <w:sz w:val="20"/>
          </w:rPr>
          <w:t>Andrew Kim</w:t>
        </w:r>
      </w:hyperlink>
      <w:r>
        <w:rPr>
          <w:rFonts w:ascii="Times New Roman" w:hAnsi="Times New Roman"/>
          <w:color w:val="1f1f1f"/>
          <w:sz w:val="20"/>
        </w:rPr>
        <w:t xml:space="preserve">, Pro Hac Vice, </w:t>
      </w:r>
      <w:hyperlink r:id="r134">
        <w:r>
          <w:rPr>
            <w:rFonts w:ascii="Times New Roman" w:hAnsi="Times New Roman"/>
            <w:color w:val="006fc4"/>
            <w:sz w:val="20"/>
          </w:rPr>
          <w:t>William M. Jay</w:t>
        </w:r>
      </w:hyperlink>
      <w:r>
        <w:rPr>
          <w:rFonts w:ascii="Times New Roman" w:hAnsi="Times New Roman"/>
          <w:color w:val="1f1f1f"/>
          <w:sz w:val="20"/>
        </w:rPr>
        <w:t xml:space="preserve">, Pro Hac Vice, Goodwin Procter LLP, Washington, DC, </w:t>
      </w:r>
      <w:hyperlink r:id="r135">
        <w:r>
          <w:rPr>
            <w:rFonts w:ascii="Times New Roman" w:hAnsi="Times New Roman"/>
            <w:color w:val="006fc4"/>
            <w:sz w:val="20"/>
          </w:rPr>
          <w:t>Janet Grumer</w:t>
        </w:r>
      </w:hyperlink>
      <w:r>
        <w:rPr>
          <w:rFonts w:ascii="Times New Roman" w:hAnsi="Times New Roman"/>
          <w:color w:val="1f1f1f"/>
          <w:sz w:val="20"/>
        </w:rPr>
        <w:t xml:space="preserve">, Pro Hac Vice, Davis Wright Tremaine, LLP, Los Angeles, CA, </w:t>
      </w:r>
      <w:hyperlink r:id="r136">
        <w:r>
          <w:rPr>
            <w:rFonts w:ascii="Times New Roman" w:hAnsi="Times New Roman"/>
            <w:color w:val="006fc4"/>
            <w:sz w:val="20"/>
          </w:rPr>
          <w:t>Roberto M. Braceras</w:t>
        </w:r>
      </w:hyperlink>
      <w:r>
        <w:rPr>
          <w:rFonts w:ascii="Times New Roman" w:hAnsi="Times New Roman"/>
          <w:color w:val="1f1f1f"/>
          <w:sz w:val="20"/>
        </w:rPr>
        <w:t xml:space="preserve">, </w:t>
      </w:r>
      <w:hyperlink r:id="r137">
        <w:r>
          <w:rPr>
            <w:rFonts w:ascii="Times New Roman" w:hAnsi="Times New Roman"/>
            <w:color w:val="006fc4"/>
            <w:sz w:val="20"/>
          </w:rPr>
          <w:t>Jennifer B. Luz</w:t>
        </w:r>
      </w:hyperlink>
      <w:r>
        <w:rPr>
          <w:rFonts w:ascii="Times New Roman" w:hAnsi="Times New Roman"/>
          <w:color w:val="1f1f1f"/>
          <w:sz w:val="20"/>
        </w:rPr>
        <w:t xml:space="preserve">, </w:t>
      </w:r>
      <w:hyperlink r:id="r138">
        <w:r>
          <w:rPr>
            <w:rFonts w:ascii="Times New Roman" w:hAnsi="Times New Roman"/>
            <w:color w:val="006fc4"/>
            <w:sz w:val="20"/>
          </w:rPr>
          <w:t>Timothy Kistner</w:t>
        </w:r>
      </w:hyperlink>
      <w:r>
        <w:rPr>
          <w:rFonts w:ascii="Times New Roman" w:hAnsi="Times New Roman"/>
          <w:color w:val="1f1f1f"/>
          <w:sz w:val="20"/>
        </w:rPr>
        <w:t>, Goodwin Procter, LLP, Boston, MA, for Defendants.</w:t>
      </w:r>
    </w:p>
    <w:bookmarkStart w:id="168" w:name="co_opinion_1"/>
    <w:bookmarkStart w:id="169" w:name="co_anchor_I8d5aec922db911ee894ea066ce69"/>
    <w:bookmarkStart w:id="170" w:name="co_anchor_I8d78fbe12db911ee894ea066ce69"/>
    <w:bookmarkStart w:id="171" w:name="co_anchor_I8d78fbe12db911ee894ea066c2"/>
    <w:p>
      <w:pPr>
        <w:spacing w:before="800" w:after="0" w:line="275" w:lineRule="atLeast"/>
        <w:jc w:val="center"/>
      </w:pPr>
      <w:r>
        <w:rPr>
          <w:rFonts w:ascii="Times New Roman" w:hAnsi="Times New Roman"/>
          <w:color w:val="1f1f1f"/>
          <w:sz w:val="20"/>
          <w:u w:val="single" w:color="1f1f1f"/>
        </w:rPr>
        <w:t>MEMORANDUM AND ORDER REGARDING DEFENDANTS' MOTION FOR JUDGMENT ON THE PLEADINGS</w:t>
      </w:r>
    </w:p>
    <w:bookmarkEnd w:id="171"/>
    <w:bookmarkEnd w:id="170"/>
    <w:bookmarkEnd w:id="169"/>
    <w:bookmarkEnd w:id="168"/>
    <w:p>
      <w:pPr>
        <w:spacing w:before="600" w:after="0" w:line="275" w:lineRule="atLeast"/>
        <w:jc w:val="center"/>
      </w:pPr>
      <w:r>
        <w:rPr>
          <w:rFonts w:ascii="Times New Roman" w:hAnsi="Times New Roman"/>
          <w:color w:val="1f1f1f"/>
          <w:sz w:val="20"/>
        </w:rPr>
        <w:t>(Dkt. No. 140)</w:t>
      </w:r>
    </w:p>
    <w:p>
      <w:pPr>
        <w:spacing w:before="400" w:after="0" w:line="275" w:lineRule="atLeast"/>
        <w:jc w:val="both"/>
      </w:pPr>
      <w:hyperlink r:id="r139">
        <w:r>
          <w:rPr>
            <w:rFonts w:ascii="Times New Roman" w:hAnsi="Times New Roman"/>
            <w:color w:val="006fc4"/>
            <w:sz w:val="20"/>
          </w:rPr>
          <w:t>KATHERINE A. ROBERTSON</w:t>
        </w:r>
      </w:hyperlink>
      <w:r>
        <w:rPr>
          <w:rFonts w:ascii="Times New Roman" w:hAnsi="Times New Roman"/>
          <w:color w:val="1f1f1f"/>
          <w:sz w:val="20"/>
        </w:rPr>
        <w:t>, United States Magistrate Judge</w:t>
      </w:r>
    </w:p>
    <w:p>
      <w:pPr>
        <w:spacing w:before="200" w:after="0" w:line="275" w:lineRule="atLeast"/>
        <w:jc w:val="both"/>
      </w:pPr>
      <w:bookmarkStart w:id="172" w:name="co_pp_sp_7903_53_1"/>
      <w:r>
        <w:rPr>
          <w:rFonts w:ascii="Times New Roman" w:hAnsi="Times New Roman"/>
          <w:b/>
          <w:color w:val="000000"/>
          <w:sz w:val="20"/>
        </w:rPr>
        <w:t>*53</w:t>
      </w:r>
      <w:bookmarkEnd w:id="172"/>
      <w:r>
        <w:rPr>
          <w:rFonts w:ascii="Times New Roman" w:hAnsi="Times New Roman"/>
          <w:color w:val="1f1f1f"/>
          <w:sz w:val="20"/>
        </w:rPr>
        <w:t xml:space="preserve"> The National Association of the Deaf (“NAD”), on behalf of its members, and three individually named plaintiffs, C. Wayne Dore, Christy Smith, and Lee Nettles (collectively, “Plaintiffs”),</w:t>
      </w:r>
      <w:bookmarkStart w:id="173" w:name="co_fnRef_B00012047886627_ID0EU3BG_1"/>
      <w:hyperlink w:anchor="co_footnote_B00012047886627_1">
        <w:r>
          <w:rPr>
            <w:rFonts w:ascii="Times New Roman" w:hAnsi="Times New Roman"/>
            <w:color w:val="006fc4"/>
            <w:sz w:val="16"/>
            <w:vertAlign w:val="superscript"/>
          </w:rPr>
          <w:t>1</w:t>
        </w:r>
      </w:hyperlink>
      <w:bookmarkEnd w:id="173"/>
      <w:r>
        <w:rPr>
          <w:rFonts w:ascii="Times New Roman" w:hAnsi="Times New Roman"/>
          <w:color w:val="1f1f1f"/>
          <w:sz w:val="20"/>
        </w:rPr>
        <w:t xml:space="preserve"> brought this putative class action under Section 504 of the Rehabilitation Act of 1973, </w:t>
      </w:r>
      <w:hyperlink r:id="r140">
        <w:r>
          <w:rPr>
            <w:rFonts w:ascii="Times New Roman" w:hAnsi="Times New Roman"/>
            <w:color w:val="006fc4"/>
            <w:sz w:val="20"/>
          </w:rPr>
          <w:t>29 U.S.C. § 794</w:t>
        </w:r>
      </w:hyperlink>
      <w:r>
        <w:rPr>
          <w:rFonts w:ascii="Times New Roman" w:hAnsi="Times New Roman"/>
          <w:color w:val="1f1f1f"/>
          <w:sz w:val="20"/>
        </w:rPr>
        <w:t xml:space="preserve"> (“Section 504”), and Title III of the Americans with Disabilities Act of 1990, 29 U.S.C. §§ 12181-12189 (“Title III” or “ADA”), against Harvard University and the President and Fellows of Harvard College (“Harvard”).</w:t>
      </w:r>
      <w:bookmarkStart w:id="174" w:name="co_fnRef_B00022047886627_ID0EV4BG_1"/>
      <w:hyperlink w:anchor="co_footnote_B00022047886627_1">
        <w:r>
          <w:rPr>
            <w:rFonts w:ascii="Times New Roman" w:hAnsi="Times New Roman"/>
            <w:color w:val="006fc4"/>
            <w:sz w:val="16"/>
            <w:vertAlign w:val="superscript"/>
          </w:rPr>
          <w:t>2</w:t>
        </w:r>
      </w:hyperlink>
      <w:bookmarkEnd w:id="174"/>
      <w:r>
        <w:rPr>
          <w:rFonts w:ascii="Times New Roman" w:hAnsi="Times New Roman"/>
          <w:color w:val="1f1f1f"/>
          <w:sz w:val="20"/>
        </w:rPr>
        <w:t xml:space="preserve"> Plaintiffs seek declaratory and injunctive relief requiring Harvard to provide timely, accurate captioning of the audio and audiovisual content that Harvard makes available online to the general public for free. On November 3, 2016, the Honorable Mark G. Mastroianni adopted a report and recommendation denying Harvard's Motion to Stay or Dismiss (Dkt. No. 23), which argued for dismissal on the basis of the doctrine of primary jurisdiction or, alternatively, that Plaintiffs' complaint failed to state a claim (Dkt. No. 77). The parties have since consented to this court's jurisdiction for all purposes (Dkt. No. 125). </w:t>
      </w:r>
      <w:r>
        <w:rPr>
          <w:rFonts w:ascii="Times New Roman" w:hAnsi="Times New Roman"/>
          <w:i/>
          <w:color w:val="1f1f1f"/>
          <w:sz w:val="20"/>
        </w:rPr>
        <w:t>See</w:t>
      </w:r>
      <w:r>
        <w:rPr>
          <w:rFonts w:ascii="Times New Roman" w:hAnsi="Times New Roman"/>
          <w:color w:val="1f1f1f"/>
          <w:sz w:val="20"/>
        </w:rPr>
        <w:t xml:space="preserve"> </w:t>
      </w:r>
      <w:hyperlink r:id="r141">
        <w:r>
          <w:rPr>
            <w:rFonts w:ascii="Times New Roman" w:hAnsi="Times New Roman"/>
            <w:color w:val="006fc4"/>
            <w:sz w:val="20"/>
          </w:rPr>
          <w:t>28 U.S.C. § 636(c)</w:t>
        </w:r>
      </w:hyperlink>
      <w:r>
        <w:rPr>
          <w:rFonts w:ascii="Times New Roman" w:hAnsi="Times New Roman"/>
          <w:color w:val="1f1f1f"/>
          <w:sz w:val="20"/>
        </w:rPr>
        <w:t xml:space="preserve">; </w:t>
      </w:r>
      <w:hyperlink r:id="r142">
        <w:r>
          <w:rPr>
            <w:rFonts w:ascii="Times New Roman" w:hAnsi="Times New Roman"/>
            <w:color w:val="006fc4"/>
            <w:sz w:val="20"/>
          </w:rPr>
          <w:t>Fed. R. Civ. P. 73</w:t>
        </w:r>
      </w:hyperlink>
      <w:r>
        <w:rPr>
          <w:rFonts w:ascii="Times New Roman" w:hAnsi="Times New Roman"/>
          <w:color w:val="1f1f1f"/>
          <w:sz w:val="20"/>
        </w:rPr>
        <w:t>. On June 29, 2018, Harvard filed its Motion for Judgement on the Pleadings (“Defendant's Motion”) (Dkt. No. 140), which Plaintiffs oppose. For the reasons set forth below, the court will deny Harvard's Motion in part and grant it in part.</w:t>
      </w:r>
    </w:p>
    <w:p>
      <w:pPr>
        <w:spacing w:before="0" w:after="0" w:line="275" w:lineRule="atLeast"/>
        <w:jc w:val="both"/>
      </w:pPr>
      <w:r>
        <w:rPr>
          <w:rFonts w:ascii="Times New Roman" w:hAnsi="Times New Roman"/>
          <w:color w:val="1f1f1f"/>
          <w:sz w:val="20"/>
        </w:rPr>
        <w:t> </w:t>
      </w:r>
    </w:p>
    <w:bookmarkStart w:id="175" w:name="co_anchor_I8d7b93f12db911ee894ea066ce69"/>
    <w:bookmarkStart w:id="176" w:name="co_anchor_I8d7b93f12db911ee894ea066c2"/>
    <w:p>
      <w:pPr>
        <w:pBdr>
          <w:left w:val="none" w:space="10"/>
        </w:pBdr>
        <w:spacing w:before="400" w:after="0" w:line="275" w:lineRule="atLeast"/>
        <w:ind w:left="200" w:right="0" w:firstLine="0"/>
      </w:pPr>
      <w:r>
        <w:rPr>
          <w:rFonts w:ascii="Times New Roman" w:hAnsi="Times New Roman"/>
          <w:color w:val="1f1f1f"/>
          <w:sz w:val="20"/>
        </w:rPr>
        <w:t>I. Background</w:t>
      </w:r>
    </w:p>
    <w:bookmarkEnd w:id="176"/>
    <w:bookmarkEnd w:id="175"/>
    <w:p>
      <w:pPr>
        <w:spacing w:before="0" w:after="0" w:line="275" w:lineRule="atLeast"/>
        <w:jc w:val="both"/>
      </w:pPr>
      <w:hyperlink w:anchor="co_hn_anchor_F12047886627_1">
        <w:r>
          <w:rPr>
            <w:rFonts w:ascii="Times New Roman" w:hAnsi="Times New Roman"/>
            <w:b/>
            <w:color w:val="252525"/>
            <w:sz w:val="20"/>
            <w:bdr w:val="none" w:space="2"/>
            <w:vertAlign w:val="superscript"/>
          </w:rPr>
          <w:t>[1]</w:t>
        </w:r>
      </w:hyperlink>
      <w:r>
        <w:rPr>
          <w:rFonts w:ascii="Times New Roman" w:hAnsi="Times New Roman"/>
          <w:color w:val="1f1f1f"/>
          <w:sz w:val="20"/>
        </w:rPr>
        <w:t xml:space="preserve">Because “any new facts contained in the answer, to which no responsive pleading by the plaintiff is required, are deemed denied,” the principle relevant </w:t>
      </w:r>
      <w:bookmarkStart w:id="177" w:name="co_pp_sp_7903_54_1"/>
      <w:r>
        <w:rPr>
          <w:rFonts w:ascii="Times New Roman" w:hAnsi="Times New Roman"/>
          <w:b/>
          <w:color w:val="000000"/>
          <w:sz w:val="20"/>
        </w:rPr>
        <w:t>*54</w:t>
      </w:r>
      <w:bookmarkEnd w:id="177"/>
      <w:r>
        <w:rPr>
          <w:rFonts w:ascii="Times New Roman" w:hAnsi="Times New Roman"/>
          <w:color w:val="1f1f1f"/>
          <w:sz w:val="20"/>
        </w:rPr>
        <w:t xml:space="preserve"> facts remain those asserted in the complaint. </w:t>
      </w:r>
      <w:hyperlink r:id="r143">
        <w:r>
          <w:rPr>
            <w:rFonts w:ascii="Times New Roman" w:hAnsi="Times New Roman"/>
            <w:i/>
            <w:color w:val="006fc4"/>
            <w:sz w:val="20"/>
          </w:rPr>
          <w:t>Kando v. Rhode Island State Bd. of Elections</w:t>
        </w:r>
        <w:r>
          <w:rPr>
            <w:rFonts w:ascii="Times New Roman" w:hAnsi="Times New Roman"/>
            <w:color w:val="006fc4"/>
            <w:sz w:val="20"/>
          </w:rPr>
          <w:t>, 880 F.3d 53, 58 (1st Cir. 2018)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Harvard, an undergraduate and postgraduate school and a recipient of federal funding, controls, maintains, and administers webpages, websites, and other internet locations on which it makes available to the general public, free of charge, a vast array of content, consisting of courses and other educational and general interest materials (Compl. at pp. 1, 7, 8, ¶¶ 1, 24, 25-28). Included within the online content are thousands of audio and audiovisual files, which communicate information aurally (Compl. at p. 1, ¶ 1).</w:t>
      </w:r>
      <w:bookmarkStart w:id="178" w:name="co_fnRef_B00032047886627_ID0EECAI_1"/>
      <w:hyperlink w:anchor="co_footnote_B00032047886627_1">
        <w:r>
          <w:rPr>
            <w:rFonts w:ascii="Times New Roman" w:hAnsi="Times New Roman"/>
            <w:color w:val="006fc4"/>
            <w:sz w:val="16"/>
            <w:vertAlign w:val="superscript"/>
          </w:rPr>
          <w:t>3</w:t>
        </w:r>
      </w:hyperlink>
      <w:bookmarkEnd w:id="178"/>
      <w:r>
        <w:rPr>
          <w:rFonts w:ascii="Times New Roman" w:hAnsi="Times New Roman"/>
          <w:color w:val="1f1f1f"/>
          <w:sz w:val="20"/>
        </w:rPr>
        <w:t xml:space="preserve"> Harvard creates and produces some, but not all, of the content (Compl. at p. 8, ¶ 28). Millions of people around the world have accessed the online audiovisual content that Harvard makes freely available (Compl. at pp. 1, 8, 12, ¶¶ 1, 28, 41-42).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allege that some audiovisual content appears on websites and platforms maintained and controlled by Harvard, such as Harvard Extension School and Open Learning Initiative, Peabody Museum of Archaeology and Ethnology, Institute of Politics John F. Kennedy Jr.’s Forum, and the Woodberry Poetry Room, while some audiovisual content is presented on third party platforms such as YouTube, iTunes U, and SoundCloud (Compl. at pp. 8-9, ¶¶ 28-29). Only a fraction of the online content that Harvard makes available has timely, accurate captioning (Compl. at p. 4, ¶ 8). Some captioning is so inaccurate as to make the content inaccessible (Compl. at p. 10, ¶ 31).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February 12, 2015, Plaintiffs filed this two-count lawsuit against Harvard. Plaintiffs claim that Harvard's failure to provide the captioning necessary to ensure effective communication and an equal opportunity for deaf and hard of hearing individuals to benefit from its online audiovisual content violates the prohibitions against disability-based discrimination codified in Section 504 and Title III (Compl. at pp. 25-29, ¶¶ 88-102). On November 3, 2016, the court denied Harvard's motion to dismiss, concluding that Plaintiffs had made out plausible claims for relief under Section 504 and Title III (Dkt. Nos. 50, 77). After Harvard answered Plaintiffs' complaint (Dkt. No. 82), the parties spent approximately a year in settlement talks and mediation to resolve or narrow the issues. When no agreement could be reached, Harvard filed this motion.</w:t>
      </w:r>
    </w:p>
    <w:p>
      <w:pPr>
        <w:spacing w:before="0" w:after="0" w:line="275" w:lineRule="atLeast"/>
        <w:jc w:val="both"/>
      </w:pPr>
      <w:r>
        <w:rPr>
          <w:rFonts w:ascii="Times New Roman" w:hAnsi="Times New Roman"/>
          <w:color w:val="1f1f1f"/>
          <w:sz w:val="20"/>
        </w:rPr>
        <w:t> </w:t>
      </w:r>
    </w:p>
    <w:bookmarkStart w:id="179" w:name="co_anchor_I8d7ddde12db911ee894ea066ce69"/>
    <w:bookmarkStart w:id="180" w:name="co_anchor_I8d7ddde12db911ee894ea066c2"/>
    <w:p>
      <w:pPr>
        <w:pBdr>
          <w:left w:val="none" w:space="10"/>
        </w:pBdr>
        <w:spacing w:before="400" w:after="0" w:line="275" w:lineRule="atLeast"/>
        <w:ind w:left="200" w:right="0" w:firstLine="0"/>
      </w:pPr>
      <w:r>
        <w:rPr>
          <w:rFonts w:ascii="Times New Roman" w:hAnsi="Times New Roman"/>
          <w:color w:val="1f1f1f"/>
          <w:sz w:val="20"/>
        </w:rPr>
        <w:t>II. Discussion</w:t>
      </w:r>
    </w:p>
    <w:bookmarkEnd w:id="180"/>
    <w:bookmarkEnd w:id="179"/>
    <w:p>
      <w:pPr>
        <w:spacing w:before="400" w:after="0" w:line="275" w:lineRule="atLeast"/>
        <w:jc w:val="center"/>
      </w:pPr>
      <w:r>
        <w:rPr>
          <w:rFonts w:ascii="Times New Roman" w:hAnsi="Times New Roman"/>
          <w:color w:val="1f1f1f"/>
          <w:sz w:val="20"/>
        </w:rPr>
        <w:t xml:space="preserve">A. </w:t>
      </w:r>
      <w:r>
        <w:rPr>
          <w:rFonts w:ascii="Times New Roman" w:hAnsi="Times New Roman"/>
          <w:color w:val="1f1f1f"/>
          <w:sz w:val="20"/>
          <w:u w:val="single" w:color="1f1f1f"/>
        </w:rPr>
        <w:t>Statutory and Regulatory Background</w:t>
      </w:r>
    </w:p>
    <w:p>
      <w:pPr>
        <w:spacing w:before="200" w:after="0" w:line="275" w:lineRule="atLeast"/>
        <w:jc w:val="both"/>
      </w:pPr>
      <w:hyperlink w:anchor="co_hn_anchor_F22047886627_1">
        <w:r>
          <w:rPr>
            <w:rFonts w:ascii="Times New Roman" w:hAnsi="Times New Roman"/>
            <w:b/>
            <w:color w:val="252525"/>
            <w:sz w:val="20"/>
            <w:bdr w:val="none" w:space="2"/>
            <w:vertAlign w:val="superscript"/>
          </w:rPr>
          <w:t>[2]</w:t>
        </w:r>
      </w:hyperlink>
      <w:r>
        <w:rPr>
          <w:rFonts w:ascii="Times New Roman" w:hAnsi="Times New Roman"/>
          <w:color w:val="1f1f1f"/>
          <w:sz w:val="20"/>
        </w:rPr>
        <w:t>The court previously set out the statutory and regulatory background that governs this case, as follows:</w:t>
      </w:r>
    </w:p>
    <w:p>
      <w:pPr>
        <w:spacing w:before="200" w:after="0" w:line="275" w:lineRule="atLeast"/>
        <w:ind w:left="200" w:right="0" w:firstLine="0"/>
        <w:jc w:val="both"/>
      </w:pPr>
      <w:r>
        <w:rPr>
          <w:rFonts w:ascii="Times New Roman" w:hAnsi="Times New Roman"/>
          <w:color w:val="1f1f1f"/>
          <w:sz w:val="20"/>
        </w:rPr>
        <w:t xml:space="preserve">“It is the purpose of both the ADA and the Rehabilitation Act to provide a coherent framework and consistent and enforceable standards for the elimination of discrimination against persons with disabilities.” </w:t>
      </w:r>
      <w:hyperlink r:id="r144">
        <w:r>
          <w:rPr>
            <w:rFonts w:ascii="Times New Roman" w:hAnsi="Times New Roman"/>
            <w:i/>
            <w:color w:val="006fc4"/>
            <w:sz w:val="20"/>
          </w:rPr>
          <w:t>Guckenberger v. Boston Univ.</w:t>
        </w:r>
        <w:r>
          <w:rPr>
            <w:rFonts w:ascii="Times New Roman" w:hAnsi="Times New Roman"/>
            <w:color w:val="006fc4"/>
            <w:sz w:val="20"/>
          </w:rPr>
          <w:t>, 974 F.Supp. 106, 133 (D. Mass. 1997)</w:t>
        </w:r>
      </w:hyperlink>
      <w:r>
        <w:rPr>
          <w:rFonts w:ascii="Times New Roman" w:hAnsi="Times New Roman"/>
          <w:color w:val="1f1f1f"/>
          <w:sz w:val="20"/>
        </w:rPr>
        <w:t xml:space="preserve"> (citing </w:t>
      </w:r>
      <w:hyperlink r:id="r145">
        <w:r>
          <w:rPr>
            <w:rFonts w:ascii="Times New Roman" w:hAnsi="Times New Roman"/>
            <w:i/>
            <w:color w:val="006fc4"/>
            <w:sz w:val="20"/>
          </w:rPr>
          <w:t>Thomas v. Davidson Acad.,</w:t>
        </w:r>
        <w:r>
          <w:rPr>
            <w:rFonts w:ascii="Times New Roman" w:hAnsi="Times New Roman"/>
            <w:color w:val="006fc4"/>
            <w:sz w:val="20"/>
          </w:rPr>
          <w:t xml:space="preserve"> 846 F.Supp. 611, 620 (M.D. Tenn. 1994)</w:t>
        </w:r>
      </w:hyperlink>
      <w:r>
        <w:rPr>
          <w:rFonts w:ascii="Times New Roman" w:hAnsi="Times New Roman"/>
          <w:color w:val="1f1f1f"/>
          <w:sz w:val="20"/>
        </w:rPr>
        <w:t xml:space="preserve">). Section 504 and the ADA are “frequently read in sync.” </w:t>
      </w:r>
      <w:r>
        <w:rPr>
          <w:rFonts w:ascii="Times New Roman" w:hAnsi="Times New Roman"/>
          <w:i/>
          <w:color w:val="1f1f1f"/>
          <w:sz w:val="20"/>
        </w:rPr>
        <w:t>Id.</w:t>
      </w:r>
      <w:r>
        <w:rPr>
          <w:rFonts w:ascii="Times New Roman" w:hAnsi="Times New Roman"/>
          <w:color w:val="1f1f1f"/>
          <w:sz w:val="20"/>
        </w:rPr>
        <w:t xml:space="preserve"> Section 504, which is applicable to entities that receive federal funding, “was the first broad federal statute aimed at eradicating discrimination against individuals </w:t>
      </w:r>
      <w:bookmarkStart w:id="181" w:name="co_pp_sp_7903_55_1"/>
      <w:r>
        <w:rPr>
          <w:rFonts w:ascii="Times New Roman" w:hAnsi="Times New Roman"/>
          <w:b/>
          <w:color w:val="000000"/>
          <w:sz w:val="20"/>
        </w:rPr>
        <w:t>*55</w:t>
      </w:r>
      <w:bookmarkEnd w:id="181"/>
      <w:r>
        <w:rPr>
          <w:rFonts w:ascii="Times New Roman" w:hAnsi="Times New Roman"/>
          <w:color w:val="1f1f1f"/>
          <w:sz w:val="20"/>
        </w:rPr>
        <w:t xml:space="preserve"> with disabilities.” </w:t>
      </w:r>
      <w:r>
        <w:rPr>
          <w:rFonts w:ascii="Times New Roman" w:hAnsi="Times New Roman"/>
          <w:i/>
          <w:color w:val="1f1f1f"/>
          <w:sz w:val="20"/>
        </w:rPr>
        <w:t>Id.</w:t>
      </w:r>
      <w:r>
        <w:rPr>
          <w:rFonts w:ascii="Times New Roman" w:hAnsi="Times New Roman"/>
          <w:color w:val="1f1f1f"/>
          <w:sz w:val="20"/>
        </w:rPr>
        <w:t xml:space="preserve"> (quoting </w:t>
      </w:r>
      <w:hyperlink r:id="r146">
        <w:r>
          <w:rPr>
            <w:rFonts w:ascii="Times New Roman" w:hAnsi="Times New Roman"/>
            <w:i/>
            <w:color w:val="006fc4"/>
            <w:sz w:val="20"/>
          </w:rPr>
          <w:t>Helen L. v. DiDario</w:t>
        </w:r>
        <w:r>
          <w:rPr>
            <w:rFonts w:ascii="Times New Roman" w:hAnsi="Times New Roman"/>
            <w:color w:val="006fc4"/>
            <w:sz w:val="20"/>
          </w:rPr>
          <w:t>, 46 F.3d 325, 330 (3d Cir. 1995)</w:t>
        </w:r>
      </w:hyperlink>
      <w:r>
        <w:rPr>
          <w:rFonts w:ascii="Times New Roman" w:hAnsi="Times New Roman"/>
          <w:color w:val="1f1f1f"/>
          <w:sz w:val="20"/>
        </w:rPr>
        <w:t xml:space="preserve">). Through the ADA, Congress “extended the non-discrimination principles required of institutions receiving federal funds by the Rehabilitation Act to a much wider array of institutions and businesses.” </w:t>
      </w:r>
      <w:r>
        <w:rPr>
          <w:rFonts w:ascii="Times New Roman" w:hAnsi="Times New Roman"/>
          <w:i/>
          <w:color w:val="1f1f1f"/>
          <w:sz w:val="20"/>
        </w:rPr>
        <w:t>Id.</w:t>
      </w:r>
      <w:r>
        <w:rPr>
          <w:rFonts w:ascii="Times New Roman" w:hAnsi="Times New Roman"/>
          <w:color w:val="1f1f1f"/>
          <w:sz w:val="20"/>
        </w:rPr>
        <w:t xml:space="preserve"> (citing </w:t>
      </w:r>
      <w:hyperlink r:id="r147">
        <w:r>
          <w:rPr>
            <w:rFonts w:ascii="Times New Roman" w:hAnsi="Times New Roman"/>
            <w:i/>
            <w:color w:val="006fc4"/>
            <w:sz w:val="20"/>
          </w:rPr>
          <w:t>Easley v. Snider</w:t>
        </w:r>
        <w:r>
          <w:rPr>
            <w:rFonts w:ascii="Times New Roman" w:hAnsi="Times New Roman"/>
            <w:color w:val="006fc4"/>
            <w:sz w:val="20"/>
          </w:rPr>
          <w:t>, 841 F.Supp. 668, 672 (E.D. Pa. 1993)</w:t>
        </w:r>
      </w:hyperlink>
      <w:r>
        <w:rPr>
          <w:rFonts w:ascii="Times New Roman" w:hAnsi="Times New Roman"/>
          <w:color w:val="1f1f1f"/>
          <w:sz w:val="20"/>
        </w:rPr>
        <w:t xml:space="preserve">, </w:t>
      </w:r>
      <w:r>
        <w:rPr>
          <w:rFonts w:ascii="Times New Roman" w:hAnsi="Times New Roman"/>
          <w:i/>
          <w:color w:val="1f1f1f"/>
          <w:sz w:val="20"/>
        </w:rPr>
        <w:t>rev'd on other grounds</w:t>
      </w:r>
      <w:r>
        <w:rPr>
          <w:rFonts w:ascii="Times New Roman" w:hAnsi="Times New Roman"/>
          <w:color w:val="1f1f1f"/>
          <w:sz w:val="20"/>
        </w:rPr>
        <w:t xml:space="preserve">, </w:t>
      </w:r>
      <w:hyperlink r:id="r148">
        <w:r>
          <w:rPr>
            <w:rFonts w:ascii="Times New Roman" w:hAnsi="Times New Roman"/>
            <w:color w:val="006fc4"/>
            <w:sz w:val="20"/>
          </w:rPr>
          <w:t>36 F.3d 297 (3d Cir. 1994)</w:t>
        </w:r>
      </w:hyperlink>
      <w:r>
        <w:rPr>
          <w:rFonts w:ascii="Times New Roman" w:hAnsi="Times New Roman"/>
          <w:color w:val="1f1f1f"/>
          <w:sz w:val="20"/>
        </w:rPr>
        <w:t xml:space="preserve">). The ADA “as a whole is intended ‘to provide a clear and comprehensive national mandate for the elimination of discrimination against individuals with disabilities.’ ” </w:t>
      </w:r>
      <w:hyperlink r:id="r149">
        <w:r>
          <w:rPr>
            <w:rFonts w:ascii="Times New Roman" w:hAnsi="Times New Roman"/>
            <w:i/>
            <w:color w:val="006fc4"/>
            <w:sz w:val="20"/>
          </w:rPr>
          <w:t>Olmstead v. Zimring</w:t>
        </w:r>
        <w:r>
          <w:rPr>
            <w:rFonts w:ascii="Times New Roman" w:hAnsi="Times New Roman"/>
            <w:color w:val="006fc4"/>
            <w:sz w:val="20"/>
          </w:rPr>
          <w:t>, 527 U.S. 581, 589, 119 S.Ct. 2176, 144 L.Ed.2d 540 (1999)</w:t>
        </w:r>
      </w:hyperlink>
      <w:r>
        <w:rPr>
          <w:rFonts w:ascii="Times New Roman" w:hAnsi="Times New Roman"/>
          <w:color w:val="1f1f1f"/>
          <w:sz w:val="20"/>
        </w:rPr>
        <w:t xml:space="preserve"> (quoting </w:t>
      </w:r>
      <w:hyperlink r:id="r150">
        <w:r>
          <w:rPr>
            <w:rFonts w:ascii="Times New Roman" w:hAnsi="Times New Roman"/>
            <w:color w:val="006fc4"/>
            <w:sz w:val="20"/>
          </w:rPr>
          <w:t>42 U.S.C. § 12101(b)(1)</w:t>
        </w:r>
      </w:hyperlink>
      <w:r>
        <w:rPr>
          <w:rFonts w:ascii="Times New Roman" w:hAnsi="Times New Roman"/>
          <w:color w:val="1f1f1f"/>
          <w:sz w:val="20"/>
        </w:rPr>
        <w:t>).</w:t>
      </w:r>
    </w:p>
    <w:p>
      <w:pPr>
        <w:spacing w:before="200" w:after="0" w:line="275" w:lineRule="atLeast"/>
        <w:ind w:left="200" w:right="0" w:firstLine="0"/>
        <w:jc w:val="both"/>
      </w:pPr>
      <w:r>
        <w:rPr>
          <w:rFonts w:ascii="Times New Roman" w:hAnsi="Times New Roman"/>
          <w:color w:val="1f1f1f"/>
          <w:sz w:val="20"/>
        </w:rPr>
        <w:t xml:space="preserve">Section 504 provides as its general rule that “[n]o otherwise qualified individual with a disability ... shall, solely by reason of her or his disability, be excluded from the participation in, be denied the benefits of, or be subjected to discrimination under any program or activity receiving Federal financial assistance....” </w:t>
      </w:r>
      <w:hyperlink r:id="r151">
        <w:r>
          <w:rPr>
            <w:rFonts w:ascii="Times New Roman" w:hAnsi="Times New Roman"/>
            <w:color w:val="006fc4"/>
            <w:sz w:val="20"/>
          </w:rPr>
          <w:t>29 U.S.C. § 794(a)</w:t>
        </w:r>
      </w:hyperlink>
      <w:r>
        <w:rPr>
          <w:rFonts w:ascii="Times New Roman" w:hAnsi="Times New Roman"/>
          <w:color w:val="1f1f1f"/>
          <w:sz w:val="20"/>
        </w:rPr>
        <w:t xml:space="preserve">. A “program or activity” includes “all of the operations of – ... a college, university, or other postsecondary institution.” </w:t>
      </w:r>
      <w:hyperlink r:id="r152">
        <w:r>
          <w:rPr>
            <w:rFonts w:ascii="Times New Roman" w:hAnsi="Times New Roman"/>
            <w:color w:val="006fc4"/>
            <w:sz w:val="20"/>
          </w:rPr>
          <w:t>29 U.S.C. § 794(b)(2)(A)</w:t>
        </w:r>
      </w:hyperlink>
      <w:r>
        <w:rPr>
          <w:rFonts w:ascii="Times New Roman" w:hAnsi="Times New Roman"/>
          <w:color w:val="1f1f1f"/>
          <w:sz w:val="20"/>
        </w:rPr>
        <w:t xml:space="preserve">. One of the explicit policies underlying the enactment of Section 504 was to ensure that “all programs, projects, and activities receiving assistance ... [are] carried out in a manner consistent with the principles of ... respect for the privacy, rights, and equal access (including the use of accessible formats), of ... individuals [with disabilities].” </w:t>
      </w:r>
      <w:hyperlink r:id="r153">
        <w:r>
          <w:rPr>
            <w:rFonts w:ascii="Times New Roman" w:hAnsi="Times New Roman"/>
            <w:color w:val="006fc4"/>
            <w:sz w:val="20"/>
          </w:rPr>
          <w:t>29 U.S.C. § 701(c)(2)</w:t>
        </w:r>
      </w:hyperlink>
      <w:r>
        <w:rPr>
          <w:rFonts w:ascii="Times New Roman" w:hAnsi="Times New Roman"/>
          <w:color w:val="1f1f1f"/>
          <w:sz w:val="20"/>
        </w:rPr>
        <w:t>.</w:t>
      </w:r>
    </w:p>
    <w:p>
      <w:pPr>
        <w:spacing w:before="200" w:after="0" w:line="275" w:lineRule="atLeast"/>
        <w:ind w:left="200" w:right="0" w:firstLine="0"/>
        <w:jc w:val="both"/>
      </w:pPr>
      <w:r>
        <w:rPr>
          <w:rFonts w:ascii="Times New Roman" w:hAnsi="Times New Roman"/>
          <w:color w:val="1f1f1f"/>
          <w:sz w:val="20"/>
        </w:rPr>
        <w:t>Department of Justice</w:t>
      </w:r>
      <w:bookmarkStart w:id="182" w:name="co_fnRef_B00042047886627_ID0EVNAI_1"/>
      <w:hyperlink w:anchor="co_footnote_B00042047886627_1">
        <w:r>
          <w:rPr>
            <w:rFonts w:ascii="Times New Roman" w:hAnsi="Times New Roman"/>
            <w:color w:val="006fc4"/>
            <w:sz w:val="16"/>
            <w:vertAlign w:val="superscript"/>
          </w:rPr>
          <w:t>4</w:t>
        </w:r>
      </w:hyperlink>
      <w:bookmarkEnd w:id="182"/>
      <w:r>
        <w:rPr>
          <w:rFonts w:ascii="Times New Roman" w:hAnsi="Times New Roman"/>
          <w:color w:val="1f1f1f"/>
          <w:sz w:val="20"/>
        </w:rPr>
        <w:t xml:space="preserve"> (“DOJ”) and Department of Education</w:t>
      </w:r>
      <w:bookmarkStart w:id="183" w:name="co_fnRef_B00052047886627_ID0E3NAI_1"/>
      <w:hyperlink w:anchor="co_footnote_B00052047886627_1">
        <w:r>
          <w:rPr>
            <w:rFonts w:ascii="Times New Roman" w:hAnsi="Times New Roman"/>
            <w:color w:val="006fc4"/>
            <w:sz w:val="16"/>
            <w:vertAlign w:val="superscript"/>
          </w:rPr>
          <w:t>5</w:t>
        </w:r>
      </w:hyperlink>
      <w:bookmarkEnd w:id="183"/>
      <w:r>
        <w:rPr>
          <w:rFonts w:ascii="Times New Roman" w:hAnsi="Times New Roman"/>
          <w:color w:val="1f1f1f"/>
          <w:sz w:val="20"/>
        </w:rPr>
        <w:t xml:space="preserve"> (“DOE”) regulations flesh out Section 504's general rule. The regulations forbid federal fund recipients from “directly or [indirectly,] through contractual, licensing, or other arrangements, on the basis of handicap” denying a qualified handicapped person “the opportunity to participate in or benefit from the aid, benefit, or service;” affording a qualified handicapped person “an opportunity to participate in or benefit from the aid, benefit, or service that is not equal to that afforded others;” and providing a qualified handicapped person with an “aid, benefit, or service that is not as effective ... as that provided to others.” </w:t>
      </w:r>
      <w:hyperlink r:id="r154">
        <w:r>
          <w:rPr>
            <w:rFonts w:ascii="Times New Roman" w:hAnsi="Times New Roman"/>
            <w:color w:val="006fc4"/>
            <w:sz w:val="20"/>
          </w:rPr>
          <w:t>28 C.F.R. § 41.51(b)(1)(i)-(iii)</w:t>
        </w:r>
      </w:hyperlink>
      <w:r>
        <w:rPr>
          <w:rFonts w:ascii="Times New Roman" w:hAnsi="Times New Roman"/>
          <w:color w:val="1f1f1f"/>
          <w:sz w:val="20"/>
        </w:rPr>
        <w:t xml:space="preserve">; </w:t>
      </w:r>
      <w:hyperlink r:id="r155">
        <w:r>
          <w:rPr>
            <w:rFonts w:ascii="Times New Roman" w:hAnsi="Times New Roman"/>
            <w:color w:val="006fc4"/>
            <w:sz w:val="20"/>
          </w:rPr>
          <w:t>34 C.F.R. § 104.4(b)(i)-(iii)</w:t>
        </w:r>
      </w:hyperlink>
      <w:r>
        <w:rPr>
          <w:rFonts w:ascii="Times New Roman" w:hAnsi="Times New Roman"/>
          <w:color w:val="1f1f1f"/>
          <w:sz w:val="20"/>
        </w:rPr>
        <w:t xml:space="preserve">. In line with Section 504's goal of promoting equal access, DOJ regulations require federal fund recipients to “take appropriate steps to ensure that communications with their applicants, employees, and beneficiaries are available to persons with impaired vision and hearing.” </w:t>
      </w:r>
      <w:hyperlink r:id="r156">
        <w:r>
          <w:rPr>
            <w:rFonts w:ascii="Times New Roman" w:hAnsi="Times New Roman"/>
            <w:color w:val="006fc4"/>
            <w:sz w:val="20"/>
          </w:rPr>
          <w:t>28 C.F.R. § 41.51(e)</w:t>
        </w:r>
      </w:hyperlink>
      <w:r>
        <w:rPr>
          <w:rFonts w:ascii="Times New Roman" w:hAnsi="Times New Roman"/>
          <w:color w:val="1f1f1f"/>
          <w:sz w:val="20"/>
        </w:rPr>
        <w:t xml:space="preserve">. DOJ regulations also require recipients of federal funds to “make reasonable accommodation to the known physical or mental limitations of an otherwise qualified handicapped applicant or employee unless the recipient can demonstrate that the accommodation would impose an undue hardship on the operation of its program.” </w:t>
      </w:r>
      <w:r>
        <w:rPr>
          <w:rFonts w:ascii="Times New Roman" w:hAnsi="Times New Roman"/>
          <w:i/>
          <w:color w:val="1f1f1f"/>
          <w:sz w:val="20"/>
        </w:rPr>
        <w:t>Id.</w:t>
      </w:r>
      <w:r>
        <w:rPr>
          <w:rFonts w:ascii="Times New Roman" w:hAnsi="Times New Roman"/>
          <w:color w:val="1f1f1f"/>
          <w:sz w:val="20"/>
        </w:rPr>
        <w:t xml:space="preserve"> § 41.53. Both sets of regulations define a “qualified handicapped person” as “a handicapped person who meets the essential eligibility requirements for the </w:t>
      </w:r>
      <w:bookmarkStart w:id="184" w:name="co_pp_sp_7903_56_1"/>
      <w:r>
        <w:rPr>
          <w:rFonts w:ascii="Times New Roman" w:hAnsi="Times New Roman"/>
          <w:b/>
          <w:color w:val="000000"/>
          <w:sz w:val="20"/>
        </w:rPr>
        <w:t>*56</w:t>
      </w:r>
      <w:bookmarkEnd w:id="184"/>
      <w:r>
        <w:rPr>
          <w:rFonts w:ascii="Times New Roman" w:hAnsi="Times New Roman"/>
          <w:color w:val="1f1f1f"/>
          <w:sz w:val="20"/>
        </w:rPr>
        <w:t xml:space="preserve"> receipt of such services.” </w:t>
      </w:r>
      <w:hyperlink r:id="r157">
        <w:r>
          <w:rPr>
            <w:rFonts w:ascii="Times New Roman" w:hAnsi="Times New Roman"/>
            <w:color w:val="006fc4"/>
            <w:sz w:val="20"/>
          </w:rPr>
          <w:t>28 C.F.R. § 41.32(b)</w:t>
        </w:r>
      </w:hyperlink>
      <w:r>
        <w:rPr>
          <w:rFonts w:ascii="Times New Roman" w:hAnsi="Times New Roman"/>
          <w:color w:val="1f1f1f"/>
          <w:sz w:val="20"/>
        </w:rPr>
        <w:t xml:space="preserve">, </w:t>
      </w:r>
      <w:hyperlink r:id="r158">
        <w:r>
          <w:rPr>
            <w:rFonts w:ascii="Times New Roman" w:hAnsi="Times New Roman"/>
            <w:color w:val="006fc4"/>
            <w:sz w:val="20"/>
          </w:rPr>
          <w:t>34 C.F.R. § 104.3(l)(4)</w:t>
        </w:r>
      </w:hyperlink>
      <w:r>
        <w:rPr>
          <w:rFonts w:ascii="Times New Roman" w:hAnsi="Times New Roman"/>
          <w:color w:val="1f1f1f"/>
          <w:sz w:val="20"/>
        </w:rPr>
        <w:t>.</w:t>
      </w:r>
    </w:p>
    <w:p>
      <w:pPr>
        <w:spacing w:before="200" w:after="0" w:line="275" w:lineRule="atLeast"/>
        <w:ind w:left="200" w:right="0" w:firstLine="0"/>
        <w:jc w:val="both"/>
      </w:pPr>
      <w:r>
        <w:rPr>
          <w:rFonts w:ascii="Times New Roman" w:hAnsi="Times New Roman"/>
          <w:color w:val="1f1f1f"/>
          <w:sz w:val="20"/>
        </w:rPr>
        <w:t xml:space="preserve">In the ADA, Congress set forth prohibitions against disability-based discrimination in employment (Title I, </w:t>
      </w:r>
      <w:hyperlink r:id="r159">
        <w:r>
          <w:rPr>
            <w:rFonts w:ascii="Times New Roman" w:hAnsi="Times New Roman"/>
            <w:color w:val="006fc4"/>
            <w:sz w:val="20"/>
          </w:rPr>
          <w:t>42 U.S.C. §§ 12111</w:t>
        </w:r>
      </w:hyperlink>
      <w:r>
        <w:rPr>
          <w:rFonts w:ascii="Times New Roman" w:hAnsi="Times New Roman"/>
          <w:color w:val="1f1f1f"/>
          <w:sz w:val="20"/>
        </w:rPr>
        <w:t>-</w:t>
      </w:r>
      <w:hyperlink r:id="r160">
        <w:r>
          <w:rPr>
            <w:rFonts w:ascii="Times New Roman" w:hAnsi="Times New Roman"/>
            <w:color w:val="006fc4"/>
            <w:sz w:val="20"/>
          </w:rPr>
          <w:t>12117</w:t>
        </w:r>
      </w:hyperlink>
      <w:r>
        <w:rPr>
          <w:rFonts w:ascii="Times New Roman" w:hAnsi="Times New Roman"/>
          <w:color w:val="1f1f1f"/>
          <w:sz w:val="20"/>
        </w:rPr>
        <w:t xml:space="preserve">), public services furnished by governmental entities (Title II, </w:t>
      </w:r>
      <w:hyperlink r:id="r161">
        <w:r>
          <w:rPr>
            <w:rFonts w:ascii="Times New Roman" w:hAnsi="Times New Roman"/>
            <w:color w:val="006fc4"/>
            <w:sz w:val="20"/>
          </w:rPr>
          <w:t>42 U.S.C. §§ 12131</w:t>
        </w:r>
      </w:hyperlink>
      <w:r>
        <w:rPr>
          <w:rFonts w:ascii="Times New Roman" w:hAnsi="Times New Roman"/>
          <w:color w:val="1f1f1f"/>
          <w:sz w:val="20"/>
        </w:rPr>
        <w:t>-</w:t>
      </w:r>
      <w:hyperlink r:id="r162">
        <w:r>
          <w:rPr>
            <w:rFonts w:ascii="Times New Roman" w:hAnsi="Times New Roman"/>
            <w:color w:val="006fc4"/>
            <w:sz w:val="20"/>
          </w:rPr>
          <w:t>12165</w:t>
        </w:r>
      </w:hyperlink>
      <w:r>
        <w:rPr>
          <w:rFonts w:ascii="Times New Roman" w:hAnsi="Times New Roman"/>
          <w:color w:val="1f1f1f"/>
          <w:sz w:val="20"/>
        </w:rPr>
        <w:t xml:space="preserve">), and public accommodations provided by private entities (Title III, </w:t>
      </w:r>
      <w:hyperlink r:id="r163">
        <w:r>
          <w:rPr>
            <w:rFonts w:ascii="Times New Roman" w:hAnsi="Times New Roman"/>
            <w:color w:val="006fc4"/>
            <w:sz w:val="20"/>
          </w:rPr>
          <w:t>42 U.S.C. §§ 12181</w:t>
        </w:r>
      </w:hyperlink>
      <w:r>
        <w:rPr>
          <w:rFonts w:ascii="Times New Roman" w:hAnsi="Times New Roman"/>
          <w:color w:val="1f1f1f"/>
          <w:sz w:val="20"/>
        </w:rPr>
        <w:t>-</w:t>
      </w:r>
      <w:hyperlink r:id="r164">
        <w:r>
          <w:rPr>
            <w:rFonts w:ascii="Times New Roman" w:hAnsi="Times New Roman"/>
            <w:color w:val="006fc4"/>
            <w:sz w:val="20"/>
          </w:rPr>
          <w:t>12189</w:t>
        </w:r>
      </w:hyperlink>
      <w:r>
        <w:rPr>
          <w:rFonts w:ascii="Times New Roman" w:hAnsi="Times New Roman"/>
          <w:color w:val="1f1f1f"/>
          <w:sz w:val="20"/>
        </w:rPr>
        <w:t xml:space="preserve">). This case concerns Title III, which provides that “[n]o individual shall be discriminated against on the basis of disability in the full and equal enjoyment of the goods, services, facilities, privileges, advantages, or accommodations of any place of public accommodation by any person who owns ... or operates a place of public accommodation.” </w:t>
      </w:r>
      <w:hyperlink r:id="r165">
        <w:r>
          <w:rPr>
            <w:rFonts w:ascii="Times New Roman" w:hAnsi="Times New Roman"/>
            <w:color w:val="006fc4"/>
            <w:sz w:val="20"/>
          </w:rPr>
          <w:t>42 U.S.C. § 12182(a)</w:t>
        </w:r>
      </w:hyperlink>
      <w:r>
        <w:rPr>
          <w:rFonts w:ascii="Times New Roman" w:hAnsi="Times New Roman"/>
          <w:color w:val="1f1f1f"/>
          <w:sz w:val="20"/>
        </w:rPr>
        <w:t xml:space="preserve">. Private schools, including undergraduate and postgraduate institutions, and other places of education, are public accommodations. </w:t>
      </w:r>
      <w:hyperlink r:id="r166">
        <w:r>
          <w:rPr>
            <w:rFonts w:ascii="Times New Roman" w:hAnsi="Times New Roman"/>
            <w:i/>
            <w:color w:val="006fc4"/>
            <w:sz w:val="20"/>
          </w:rPr>
          <w:t>Id.</w:t>
        </w:r>
        <w:r>
          <w:rPr>
            <w:rFonts w:ascii="Times New Roman" w:hAnsi="Times New Roman"/>
            <w:color w:val="006fc4"/>
            <w:sz w:val="20"/>
          </w:rPr>
          <w:t xml:space="preserve"> § 12181(7)(J)</w:t>
        </w:r>
      </w:hyperlink>
      <w:r>
        <w:rPr>
          <w:rFonts w:ascii="Times New Roman" w:hAnsi="Times New Roman"/>
          <w:color w:val="1f1f1f"/>
          <w:sz w:val="20"/>
        </w:rPr>
        <w:t xml:space="preserve">. Title III prohibits public accommodations from discriminating against the disabled by, “directly, or through contractual, licensing, or other arrangements,” denying individuals on the basis of disability the opportunity “to participate in or benefit from the goods, services, facilities, privileges, advantages, or accommodations of an entity,” or providing them with an “opportunity to participate in or benefit from a good, service, facility, privilege, advantage, or accommodation that is not equal to that afforded to other individuals.” </w:t>
      </w:r>
      <w:hyperlink r:id="r167">
        <w:r>
          <w:rPr>
            <w:rFonts w:ascii="Times New Roman" w:hAnsi="Times New Roman"/>
            <w:i/>
            <w:color w:val="006fc4"/>
            <w:sz w:val="20"/>
          </w:rPr>
          <w:t>Id.</w:t>
        </w:r>
        <w:r>
          <w:rPr>
            <w:rFonts w:ascii="Times New Roman" w:hAnsi="Times New Roman"/>
            <w:color w:val="006fc4"/>
            <w:sz w:val="20"/>
          </w:rPr>
          <w:t xml:space="preserve"> § 12182(b)(1)(A)(i)-(ii)</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68">
        <w:r>
          <w:rPr>
            <w:rFonts w:ascii="Times New Roman" w:hAnsi="Times New Roman"/>
            <w:color w:val="006fc4"/>
            <w:sz w:val="20"/>
          </w:rPr>
          <w:t>28 C.F.R. § 36.202(a)</w:t>
        </w:r>
      </w:hyperlink>
      <w:r>
        <w:rPr>
          <w:rFonts w:ascii="Times New Roman" w:hAnsi="Times New Roman"/>
          <w:color w:val="1f1f1f"/>
          <w:sz w:val="20"/>
        </w:rPr>
        <w:t>-</w:t>
      </w:r>
      <w:hyperlink r:id="r169">
        <w:r>
          <w:rPr>
            <w:rFonts w:ascii="Times New Roman" w:hAnsi="Times New Roman"/>
            <w:color w:val="006fc4"/>
            <w:sz w:val="20"/>
          </w:rPr>
          <w:t>(b)</w:t>
        </w:r>
      </w:hyperlink>
      <w:r>
        <w:rPr>
          <w:rFonts w:ascii="Times New Roman" w:hAnsi="Times New Roman"/>
          <w:color w:val="1f1f1f"/>
          <w:sz w:val="20"/>
        </w:rPr>
        <w:t>.</w:t>
      </w:r>
    </w:p>
    <w:p>
      <w:pPr>
        <w:spacing w:before="200" w:after="0" w:line="275" w:lineRule="atLeast"/>
        <w:ind w:left="200" w:right="0" w:firstLine="0"/>
        <w:jc w:val="both"/>
      </w:pPr>
      <w:r>
        <w:rPr>
          <w:rFonts w:ascii="Times New Roman" w:hAnsi="Times New Roman"/>
          <w:color w:val="1f1f1f"/>
          <w:sz w:val="20"/>
        </w:rPr>
        <w:t xml:space="preserve">Among the various discriminatory effects Congress intended the ADA to remedy were those resulting from communication barriers faced by individuals with communication disabilities, including hearing, vision, and speech impairments. </w:t>
      </w:r>
      <w:hyperlink r:id="r170">
        <w:r>
          <w:rPr>
            <w:rFonts w:ascii="Times New Roman" w:hAnsi="Times New Roman"/>
            <w:color w:val="006fc4"/>
            <w:sz w:val="20"/>
          </w:rPr>
          <w:t>42 U.S.C. § 12101(a)(5)</w:t>
        </w:r>
      </w:hyperlink>
      <w:r>
        <w:rPr>
          <w:rFonts w:ascii="Times New Roman" w:hAnsi="Times New Roman"/>
          <w:color w:val="1f1f1f"/>
          <w:sz w:val="20"/>
        </w:rPr>
        <w:t xml:space="preserve">. The ADA uses the term “auxiliary aids and services” to refer to the means or methods by which public accommodations can effectively communicate with people who have communication disabilities. </w:t>
      </w:r>
      <w:r>
        <w:rPr>
          <w:rFonts w:ascii="Times New Roman" w:hAnsi="Times New Roman"/>
          <w:i/>
          <w:color w:val="1f1f1f"/>
          <w:sz w:val="20"/>
        </w:rPr>
        <w:t>Id.</w:t>
      </w:r>
      <w:r>
        <w:rPr>
          <w:rFonts w:ascii="Times New Roman" w:hAnsi="Times New Roman"/>
          <w:color w:val="1f1f1f"/>
          <w:sz w:val="20"/>
        </w:rPr>
        <w:t xml:space="preserve"> § 12103(1). </w:t>
      </w:r>
      <w:r>
        <w:rPr>
          <w:rFonts w:ascii="Times New Roman" w:hAnsi="Times New Roman"/>
          <w:i/>
          <w:color w:val="1f1f1f"/>
          <w:sz w:val="20"/>
        </w:rPr>
        <w:t>See also</w:t>
      </w:r>
      <w:r>
        <w:rPr>
          <w:rFonts w:ascii="Times New Roman" w:hAnsi="Times New Roman"/>
          <w:color w:val="1f1f1f"/>
          <w:sz w:val="20"/>
        </w:rPr>
        <w:t xml:space="preserve"> </w:t>
      </w:r>
      <w:hyperlink r:id="r171">
        <w:r>
          <w:rPr>
            <w:rFonts w:ascii="Times New Roman" w:hAnsi="Times New Roman"/>
            <w:color w:val="006fc4"/>
            <w:sz w:val="20"/>
          </w:rPr>
          <w:t>28 C.F.R. § 36.303</w:t>
        </w:r>
      </w:hyperlink>
      <w:r>
        <w:rPr>
          <w:rFonts w:ascii="Times New Roman" w:hAnsi="Times New Roman"/>
          <w:color w:val="1f1f1f"/>
          <w:sz w:val="20"/>
        </w:rPr>
        <w:t xml:space="preserve">. The ADA establishes that it is discriminatory for a public accommodation to fail “to take such steps as may be necessary to ensure that no individual with a disability is excluded, denied services, segregated or otherwise treated differently than other individuals because of the absence of auxiliary aids and services, unless the entity can demonstrate that taking such steps would fundamentally alter the nature of the good, service, facility, privilege, advantage, or accommodation being offered or would result in an undue burden.” </w:t>
      </w:r>
      <w:hyperlink r:id="r172">
        <w:r>
          <w:rPr>
            <w:rFonts w:ascii="Times New Roman" w:hAnsi="Times New Roman"/>
            <w:color w:val="006fc4"/>
            <w:sz w:val="20"/>
          </w:rPr>
          <w:t>42 U.S.C. § 12182(b)(2)(A)(iii)</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28 C.F.R. § 303(a). DOJ implementing regulations equate “undue burden” with “significant difficulty or expense.” </w:t>
      </w:r>
      <w:hyperlink r:id="r173">
        <w:r>
          <w:rPr>
            <w:rFonts w:ascii="Times New Roman" w:hAnsi="Times New Roman"/>
            <w:color w:val="006fc4"/>
            <w:sz w:val="20"/>
          </w:rPr>
          <w:t>28 C.F.R. § 36.303(a)</w:t>
        </w:r>
      </w:hyperlink>
      <w:r>
        <w:rPr>
          <w:rFonts w:ascii="Times New Roman" w:hAnsi="Times New Roman"/>
          <w:color w:val="1f1f1f"/>
          <w:sz w:val="20"/>
        </w:rPr>
        <w:t xml:space="preserve">. The regulations further provide that “[a] public accommodation shall furnish appropriate auxiliary aids and services where necessary to ensure effective communication with individuals with disabilities.” </w:t>
      </w:r>
      <w:hyperlink r:id="r174">
        <w:r>
          <w:rPr>
            <w:rFonts w:ascii="Times New Roman" w:hAnsi="Times New Roman"/>
            <w:color w:val="006fc4"/>
            <w:sz w:val="20"/>
          </w:rPr>
          <w:t>28 C.F.R. § 36.303(c)(1)</w:t>
        </w:r>
      </w:hyperlink>
      <w:r>
        <w:rPr>
          <w:rFonts w:ascii="Times New Roman" w:hAnsi="Times New Roman"/>
          <w:color w:val="1f1f1f"/>
          <w:sz w:val="20"/>
        </w:rPr>
        <w:t xml:space="preserve">. Even where the “provision of a particular auxiliary aid or service by a public accommodation would result in a fundamental alteration in the nature of the goods, services, facilities, privileges, advantages, or accommodations being offered or in an undue burden, i.e., significant difficulty or expense, the public accommodation [still must] provide an alternative auxiliary aid or service, if one exists, that would not result in an alteration or such burden but would nevertheless ensure that, to the maximum extent possible, individuals with disabilities receive the goods, services, facilities, privileges, advantages, or accommodations offered by the </w:t>
      </w:r>
      <w:bookmarkStart w:id="185" w:name="co_pp_sp_7903_57_1"/>
      <w:r>
        <w:rPr>
          <w:rFonts w:ascii="Times New Roman" w:hAnsi="Times New Roman"/>
          <w:b/>
          <w:color w:val="000000"/>
          <w:sz w:val="20"/>
        </w:rPr>
        <w:t>*57</w:t>
      </w:r>
      <w:bookmarkEnd w:id="185"/>
      <w:r>
        <w:rPr>
          <w:rFonts w:ascii="Times New Roman" w:hAnsi="Times New Roman"/>
          <w:color w:val="1f1f1f"/>
          <w:sz w:val="20"/>
        </w:rPr>
        <w:t xml:space="preserve"> public accommodation.” </w:t>
      </w:r>
      <w:hyperlink r:id="r175">
        <w:r>
          <w:rPr>
            <w:rFonts w:ascii="Times New Roman" w:hAnsi="Times New Roman"/>
            <w:i/>
            <w:color w:val="006fc4"/>
            <w:sz w:val="20"/>
          </w:rPr>
          <w:t>Id.</w:t>
        </w:r>
        <w:r>
          <w:rPr>
            <w:rFonts w:ascii="Times New Roman" w:hAnsi="Times New Roman"/>
            <w:color w:val="006fc4"/>
            <w:sz w:val="20"/>
          </w:rPr>
          <w:t xml:space="preserve"> § 36.303(g)</w:t>
        </w:r>
      </w:hyperlink>
      <w:r>
        <w:rPr>
          <w:rFonts w:ascii="Times New Roman" w:hAnsi="Times New Roman"/>
          <w:color w:val="1f1f1f"/>
          <w:sz w:val="20"/>
        </w:rPr>
        <w:t xml:space="preserve">. The regulations define the term “auxiliary aids and services” to include, among other things, “open and closed captioning, including real-time captioning; ... or other effective methods of making aurally delivered information available to individuals who are deaf or hard of hearing.” </w:t>
      </w:r>
      <w:hyperlink r:id="r176">
        <w:r>
          <w:rPr>
            <w:rFonts w:ascii="Times New Roman" w:hAnsi="Times New Roman"/>
            <w:i/>
            <w:color w:val="006fc4"/>
            <w:sz w:val="20"/>
          </w:rPr>
          <w:t>Id.</w:t>
        </w:r>
        <w:r>
          <w:rPr>
            <w:rFonts w:ascii="Times New Roman" w:hAnsi="Times New Roman"/>
            <w:color w:val="006fc4"/>
            <w:sz w:val="20"/>
          </w:rPr>
          <w:t xml:space="preserve"> § 36.303(b)</w:t>
        </w:r>
      </w:hyperlink>
      <w:r>
        <w:rPr>
          <w:rFonts w:ascii="Times New Roman" w:hAnsi="Times New Roman"/>
          <w:color w:val="1f1f1f"/>
          <w:sz w:val="20"/>
        </w:rPr>
        <w:t>.</w:t>
      </w:r>
    </w:p>
    <w:p>
      <w:pPr>
        <w:spacing w:before="200" w:after="0" w:line="275" w:lineRule="atLeast"/>
        <w:jc w:val="both"/>
      </w:pPr>
      <w:hyperlink r:id="r177">
        <w:r>
          <w:rPr>
            <w:rFonts w:ascii="Times New Roman" w:hAnsi="Times New Roman"/>
            <w:i/>
            <w:color w:val="006fc4"/>
            <w:sz w:val="20"/>
          </w:rPr>
          <w:t>Nat'l Assoc. of the Deaf v. Harvard Univ.</w:t>
        </w:r>
        <w:r>
          <w:rPr>
            <w:rFonts w:ascii="Times New Roman" w:hAnsi="Times New Roman"/>
            <w:color w:val="006fc4"/>
            <w:sz w:val="20"/>
          </w:rPr>
          <w:t>, Case No. 3:15-cv-30023-MGM, 2016 WL 3561622, at *2-3 (D. Mass. Feb. 9, 2016)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With this background in mind, the court turns to the contentions in Defendant's Motion.</w:t>
      </w:r>
    </w:p>
    <w:p>
      <w:pPr>
        <w:spacing w:before="0" w:after="0" w:line="275" w:lineRule="atLeast"/>
        <w:jc w:val="both"/>
      </w:pPr>
      <w:r>
        <w:rPr>
          <w:rFonts w:ascii="Times New Roman" w:hAnsi="Times New Roman"/>
          <w:color w:val="1f1f1f"/>
          <w:sz w:val="20"/>
        </w:rPr>
        <w:t> </w:t>
      </w:r>
    </w:p>
    <w:bookmarkStart w:id="186" w:name="co_anchor_I8da626612db911ee894ea066ce69"/>
    <w:p>
      <w:pPr>
        <w:spacing w:before="400" w:after="0" w:line="275" w:lineRule="atLeast"/>
        <w:jc w:val="center"/>
      </w:pPr>
      <w:r>
        <w:rPr>
          <w:rFonts w:ascii="Times New Roman" w:hAnsi="Times New Roman"/>
          <w:color w:val="1f1f1f"/>
          <w:sz w:val="20"/>
        </w:rPr>
        <w:t xml:space="preserve">B. </w:t>
      </w:r>
      <w:r>
        <w:rPr>
          <w:rFonts w:ascii="Times New Roman" w:hAnsi="Times New Roman"/>
          <w:color w:val="1f1f1f"/>
          <w:sz w:val="20"/>
          <w:u w:val="single" w:color="1f1f1f"/>
        </w:rPr>
        <w:t>Motion for Judgment on the Pleadings</w:t>
      </w:r>
    </w:p>
    <w:bookmarkEnd w:id="186"/>
    <w:p>
      <w:pPr>
        <w:spacing w:before="200" w:after="0" w:line="275" w:lineRule="atLeast"/>
        <w:jc w:val="both"/>
      </w:pPr>
      <w:hyperlink w:anchor="co_hn_anchor_F32047886627_1">
        <w:r>
          <w:rPr>
            <w:rFonts w:ascii="Times New Roman" w:hAnsi="Times New Roman"/>
            <w:b/>
            <w:color w:val="252525"/>
            <w:sz w:val="20"/>
            <w:bdr w:val="none" w:space="2"/>
            <w:vertAlign w:val="superscript"/>
          </w:rPr>
          <w:t>[3]</w:t>
        </w:r>
      </w:hyperlink>
      <w:r>
        <w:rPr>
          <w:rFonts w:ascii="Times New Roman" w:hAnsi="Times New Roman"/>
          <w:color w:val="1f1f1f"/>
          <w:sz w:val="20"/>
        </w:rPr>
        <w:t xml:space="preserve"> </w:t>
      </w:r>
      <w:hyperlink w:anchor="co_hn_anchor_F42047886627_1">
        <w:r>
          <w:rPr>
            <w:rFonts w:ascii="Times New Roman" w:hAnsi="Times New Roman"/>
            <w:b/>
            <w:color w:val="252525"/>
            <w:sz w:val="20"/>
            <w:bdr w:val="none" w:space="2"/>
            <w:vertAlign w:val="superscript"/>
          </w:rPr>
          <w:t>[4]</w:t>
        </w:r>
      </w:hyperlink>
      <w:r>
        <w:rPr>
          <w:rFonts w:ascii="Times New Roman" w:hAnsi="Times New Roman"/>
          <w:color w:val="1f1f1f"/>
          <w:sz w:val="20"/>
        </w:rPr>
        <w:t xml:space="preserve"> </w:t>
      </w:r>
      <w:hyperlink w:anchor="co_hn_anchor_F52047886627_1">
        <w:r>
          <w:rPr>
            <w:rFonts w:ascii="Times New Roman" w:hAnsi="Times New Roman"/>
            <w:b/>
            <w:color w:val="252525"/>
            <w:sz w:val="20"/>
            <w:bdr w:val="none" w:space="2"/>
            <w:vertAlign w:val="superscript"/>
          </w:rPr>
          <w:t>[5]</w:t>
        </w:r>
      </w:hyperlink>
      <w:r>
        <w:rPr>
          <w:rFonts w:ascii="Times New Roman" w:hAnsi="Times New Roman"/>
          <w:color w:val="1f1f1f"/>
          <w:sz w:val="20"/>
        </w:rPr>
        <w:t xml:space="preserve"> </w:t>
      </w:r>
      <w:hyperlink w:anchor="co_hn_anchor_F62047886627_1">
        <w:r>
          <w:rPr>
            <w:rFonts w:ascii="Times New Roman" w:hAnsi="Times New Roman"/>
            <w:b/>
            <w:color w:val="252525"/>
            <w:sz w:val="20"/>
            <w:bdr w:val="none" w:space="2"/>
            <w:vertAlign w:val="superscript"/>
          </w:rPr>
          <w:t>[6]</w:t>
        </w:r>
      </w:hyperlink>
      <w:r>
        <w:rPr>
          <w:rFonts w:ascii="Times New Roman" w:hAnsi="Times New Roman"/>
          <w:color w:val="1f1f1f"/>
          <w:sz w:val="20"/>
        </w:rPr>
        <w:t xml:space="preserve"> </w:t>
      </w:r>
      <w:hyperlink w:anchor="co_hn_anchor_F72047886627_1">
        <w:r>
          <w:rPr>
            <w:rFonts w:ascii="Times New Roman" w:hAnsi="Times New Roman"/>
            <w:b/>
            <w:color w:val="252525"/>
            <w:sz w:val="20"/>
            <w:bdr w:val="none" w:space="2"/>
            <w:vertAlign w:val="superscript"/>
          </w:rPr>
          <w:t>[7]</w:t>
        </w:r>
      </w:hyperlink>
      <w:r>
        <w:rPr>
          <w:rFonts w:ascii="Times New Roman" w:hAnsi="Times New Roman"/>
          <w:color w:val="1f1f1f"/>
          <w:sz w:val="20"/>
        </w:rPr>
        <w:t xml:space="preserve">“A motion for judgment on the pleadings bears a strong family resemblance to a motion to dismiss under </w:t>
      </w:r>
      <w:hyperlink r:id="r178">
        <w:r>
          <w:rPr>
            <w:rFonts w:ascii="Times New Roman" w:hAnsi="Times New Roman"/>
            <w:color w:val="006fc4"/>
            <w:sz w:val="20"/>
          </w:rPr>
          <w:t>Federal Rule of Civil Procedure 12(b)(6)</w:t>
        </w:r>
      </w:hyperlink>
      <w:r>
        <w:rPr>
          <w:rFonts w:ascii="Times New Roman" w:hAnsi="Times New Roman"/>
          <w:color w:val="1f1f1f"/>
          <w:sz w:val="20"/>
        </w:rPr>
        <w:t xml:space="preserve">, and these two types of motions are treated in much the same way.” </w:t>
      </w:r>
      <w:hyperlink r:id="r179">
        <w:r>
          <w:rPr>
            <w:rFonts w:ascii="Times New Roman" w:hAnsi="Times New Roman"/>
            <w:i/>
            <w:color w:val="006fc4"/>
            <w:sz w:val="20"/>
          </w:rPr>
          <w:t>Kando</w:t>
        </w:r>
        <w:r>
          <w:rPr>
            <w:rFonts w:ascii="Times New Roman" w:hAnsi="Times New Roman"/>
            <w:color w:val="006fc4"/>
            <w:sz w:val="20"/>
          </w:rPr>
          <w:t>, 880 F.3d at 58</w:t>
        </w:r>
      </w:hyperlink>
      <w:r>
        <w:rPr>
          <w:rFonts w:ascii="Times New Roman" w:hAnsi="Times New Roman"/>
          <w:color w:val="1f1f1f"/>
          <w:sz w:val="20"/>
        </w:rPr>
        <w:t xml:space="preserve">. The primary difference between the two is that a motion under </w:t>
      </w:r>
      <w:hyperlink r:id="r180">
        <w:r>
          <w:rPr>
            <w:rFonts w:ascii="Times New Roman" w:hAnsi="Times New Roman"/>
            <w:color w:val="006fc4"/>
            <w:sz w:val="20"/>
          </w:rPr>
          <w:t>Rule 12(c)</w:t>
        </w:r>
      </w:hyperlink>
      <w:r>
        <w:rPr>
          <w:rFonts w:ascii="Times New Roman" w:hAnsi="Times New Roman"/>
          <w:color w:val="1f1f1f"/>
          <w:sz w:val="20"/>
        </w:rPr>
        <w:t xml:space="preserve"> “implicates the pleadings as a whole.” </w:t>
      </w:r>
      <w:hyperlink r:id="r181">
        <w:r>
          <w:rPr>
            <w:rFonts w:ascii="Times New Roman" w:hAnsi="Times New Roman"/>
            <w:i/>
            <w:color w:val="006fc4"/>
            <w:sz w:val="20"/>
          </w:rPr>
          <w:t>Aponte-Torres v. Univ. of Puerto Rico</w:t>
        </w:r>
        <w:r>
          <w:rPr>
            <w:rFonts w:ascii="Times New Roman" w:hAnsi="Times New Roman"/>
            <w:color w:val="006fc4"/>
            <w:sz w:val="20"/>
          </w:rPr>
          <w:t>, 445 F.3d 50, 54–55 (1st Cir. 2006)</w:t>
        </w:r>
      </w:hyperlink>
      <w:r>
        <w:rPr>
          <w:rFonts w:ascii="Times New Roman" w:hAnsi="Times New Roman"/>
          <w:color w:val="1f1f1f"/>
          <w:sz w:val="20"/>
        </w:rPr>
        <w:t xml:space="preserve">. “[T]he court must view the facts contained in the pleadings in the light most favorable to the nonmovant and draw all reasonable inferences therefrom to the nonmovant's behoof.” </w:t>
      </w:r>
      <w:hyperlink r:id="r182">
        <w:r>
          <w:rPr>
            <w:rFonts w:ascii="Times New Roman" w:hAnsi="Times New Roman"/>
            <w:i/>
            <w:color w:val="006fc4"/>
            <w:sz w:val="20"/>
          </w:rPr>
          <w:t>R.G. Fin. Corp. v. Vergara-Nunez</w:t>
        </w:r>
        <w:r>
          <w:rPr>
            <w:rFonts w:ascii="Times New Roman" w:hAnsi="Times New Roman"/>
            <w:color w:val="006fc4"/>
            <w:sz w:val="20"/>
          </w:rPr>
          <w:t>, 446 F.3d 178, 182 (1st Cir. 2006)</w:t>
        </w:r>
      </w:hyperlink>
      <w:r>
        <w:rPr>
          <w:rFonts w:ascii="Times New Roman" w:hAnsi="Times New Roman"/>
          <w:color w:val="1f1f1f"/>
          <w:sz w:val="20"/>
        </w:rPr>
        <w:t xml:space="preserve">. “Judgment on the pleadings should be allowed only if the properly considered facts conclusively establish that the movant is entitled to the relief sought.” </w:t>
      </w:r>
      <w:hyperlink r:id="r183">
        <w:r>
          <w:rPr>
            <w:rFonts w:ascii="Times New Roman" w:hAnsi="Times New Roman"/>
            <w:i/>
            <w:color w:val="006fc4"/>
            <w:sz w:val="20"/>
          </w:rPr>
          <w:t>Kando</w:t>
        </w:r>
        <w:r>
          <w:rPr>
            <w:rFonts w:ascii="Times New Roman" w:hAnsi="Times New Roman"/>
            <w:color w:val="006fc4"/>
            <w:sz w:val="20"/>
          </w:rPr>
          <w:t>, 880 F.3d at 58</w:t>
        </w:r>
      </w:hyperlink>
      <w:r>
        <w:rPr>
          <w:rFonts w:ascii="Times New Roman" w:hAnsi="Times New Roman"/>
          <w:color w:val="1f1f1f"/>
          <w:sz w:val="20"/>
        </w:rPr>
        <w:t xml:space="preserve"> (citing </w:t>
      </w:r>
      <w:hyperlink r:id="r184">
        <w:r>
          <w:rPr>
            <w:rFonts w:ascii="Times New Roman" w:hAnsi="Times New Roman"/>
            <w:i/>
            <w:color w:val="006fc4"/>
            <w:sz w:val="20"/>
          </w:rPr>
          <w:t>R.G. Fin. Corp.</w:t>
        </w:r>
        <w:r>
          <w:rPr>
            <w:rFonts w:ascii="Times New Roman" w:hAnsi="Times New Roman"/>
            <w:color w:val="006fc4"/>
            <w:sz w:val="20"/>
          </w:rPr>
          <w:t>, 446 F.3d at 182</w:t>
        </w:r>
      </w:hyperlink>
      <w:r>
        <w:rPr>
          <w:rFonts w:ascii="Times New Roman" w:hAnsi="Times New Roman"/>
          <w:color w:val="1f1f1f"/>
          <w:sz w:val="20"/>
        </w:rPr>
        <w:t>). “</w:t>
      </w:r>
      <w:hyperlink r:id="r185">
        <w:r>
          <w:rPr>
            <w:rFonts w:ascii="Times New Roman" w:hAnsi="Times New Roman"/>
            <w:color w:val="006fc4"/>
            <w:sz w:val="20"/>
          </w:rPr>
          <w:t>Rule 12(c)</w:t>
        </w:r>
      </w:hyperlink>
      <w:r>
        <w:rPr>
          <w:rFonts w:ascii="Times New Roman" w:hAnsi="Times New Roman"/>
          <w:color w:val="1f1f1f"/>
          <w:sz w:val="20"/>
        </w:rPr>
        <w:t xml:space="preserve"> does not allow for any resolution of contested facts; rather, a court may enter judgment on the pleadings only if the uncontested and properly considered facts conclusively establish the movant's entitlement to a favorable judgment.” </w:t>
      </w:r>
      <w:hyperlink r:id="r186">
        <w:r>
          <w:rPr>
            <w:rFonts w:ascii="Times New Roman" w:hAnsi="Times New Roman"/>
            <w:i/>
            <w:color w:val="006fc4"/>
            <w:sz w:val="20"/>
          </w:rPr>
          <w:t>Aponte-Torres</w:t>
        </w:r>
        <w:r>
          <w:rPr>
            <w:rFonts w:ascii="Times New Roman" w:hAnsi="Times New Roman"/>
            <w:color w:val="006fc4"/>
            <w:sz w:val="20"/>
          </w:rPr>
          <w:t>, 445 F.3d at 54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87" w:name="co_anchor_I8da7fb212db911ee894ea066ce69"/>
    <w:p>
      <w:pPr>
        <w:spacing w:before="400" w:after="0" w:line="275" w:lineRule="atLeast"/>
        <w:jc w:val="center"/>
      </w:pPr>
      <w:r>
        <w:rPr>
          <w:rFonts w:ascii="Times New Roman" w:hAnsi="Times New Roman"/>
          <w:color w:val="1f1f1f"/>
          <w:sz w:val="20"/>
        </w:rPr>
        <w:t xml:space="preserve">1. </w:t>
      </w:r>
      <w:r>
        <w:rPr>
          <w:rFonts w:ascii="Times New Roman" w:hAnsi="Times New Roman"/>
          <w:color w:val="1f1f1f"/>
          <w:sz w:val="20"/>
          <w:u w:val="single" w:color="1f1f1f"/>
        </w:rPr>
        <w:t>Title III of the ADA</w:t>
      </w:r>
    </w:p>
    <w:bookmarkEnd w:id="187"/>
    <w:p>
      <w:pPr>
        <w:spacing w:before="200" w:after="0" w:line="275" w:lineRule="atLeast"/>
        <w:jc w:val="both"/>
      </w:pPr>
      <w:hyperlink w:anchor="co_hn_anchor_F82047886627_1">
        <w:r>
          <w:rPr>
            <w:rFonts w:ascii="Times New Roman" w:hAnsi="Times New Roman"/>
            <w:b/>
            <w:color w:val="252525"/>
            <w:sz w:val="20"/>
            <w:bdr w:val="none" w:space="2"/>
            <w:vertAlign w:val="superscript"/>
          </w:rPr>
          <w:t>[8]</w:t>
        </w:r>
      </w:hyperlink>
      <w:r>
        <w:rPr>
          <w:rFonts w:ascii="Times New Roman" w:hAnsi="Times New Roman"/>
          <w:color w:val="1f1f1f"/>
          <w:sz w:val="20"/>
        </w:rPr>
        <w:t>At the motion to dismiss stage, the court held that the complaint successfully stated a claim under the ADA for failure to accommodate, observing that</w:t>
      </w:r>
    </w:p>
    <w:p>
      <w:pPr>
        <w:spacing w:before="200" w:after="0" w:line="275" w:lineRule="atLeast"/>
        <w:ind w:left="480" w:right="480" w:firstLine="0"/>
        <w:jc w:val="both"/>
      </w:pPr>
      <w:r>
        <w:rPr>
          <w:rFonts w:ascii="Times New Roman" w:hAnsi="Times New Roman"/>
          <w:color w:val="1f1f1f"/>
          <w:sz w:val="20"/>
        </w:rPr>
        <w:t>Plaintiffs allege that Harvard – a public accommodation – has discriminated against deaf and hard of hearing individuals by failing to provide auxiliary aids and services – specifically, captioning – necessary to ensure effective communication and equal access to its online audiovisual content. In other words, Plaintiffs' theory of disability-based discrimination under the ADA is for failure to reasonably accommodate. This theory is cognizable under the ADA....</w:t>
      </w:r>
    </w:p>
    <w:p>
      <w:pPr>
        <w:spacing w:before="200" w:after="0" w:line="275" w:lineRule="atLeast"/>
        <w:jc w:val="both"/>
      </w:pPr>
      <w:hyperlink r:id="r187">
        <w:r>
          <w:rPr>
            <w:rFonts w:ascii="Times New Roman" w:hAnsi="Times New Roman"/>
            <w:i/>
            <w:color w:val="006fc4"/>
            <w:sz w:val="20"/>
          </w:rPr>
          <w:t>Nat'l Assoc. of the Deaf</w:t>
        </w:r>
        <w:r>
          <w:rPr>
            <w:rFonts w:ascii="Times New Roman" w:hAnsi="Times New Roman"/>
            <w:color w:val="006fc4"/>
            <w:sz w:val="20"/>
          </w:rPr>
          <w:t>, 2016 WL 3561622, at *10</w:t>
        </w:r>
      </w:hyperlink>
      <w:r>
        <w:rPr>
          <w:rFonts w:ascii="Times New Roman" w:hAnsi="Times New Roman"/>
          <w:color w:val="1f1f1f"/>
          <w:sz w:val="20"/>
        </w:rPr>
        <w:t xml:space="preserve"> (citing </w:t>
      </w:r>
      <w:hyperlink r:id="r188">
        <w:r>
          <w:rPr>
            <w:rFonts w:ascii="Times New Roman" w:hAnsi="Times New Roman"/>
            <w:i/>
            <w:color w:val="006fc4"/>
            <w:sz w:val="20"/>
          </w:rPr>
          <w:t>Nunes v. Mass. Dep't of Corr.</w:t>
        </w:r>
        <w:r>
          <w:rPr>
            <w:rFonts w:ascii="Times New Roman" w:hAnsi="Times New Roman"/>
            <w:color w:val="006fc4"/>
            <w:sz w:val="20"/>
          </w:rPr>
          <w:t>, 766 F.3d 136, 145 (1st Cir. 2014)</w:t>
        </w:r>
      </w:hyperlink>
      <w:r>
        <w:rPr>
          <w:rFonts w:ascii="Times New Roman" w:hAnsi="Times New Roman"/>
          <w:color w:val="1f1f1f"/>
          <w:sz w:val="20"/>
        </w:rPr>
        <w:t xml:space="preserve">). The court characterized this suit as a “prototypical auxiliary aids case. Plaintiffs have alleged that Harvard provides a service – making online video content available to the public for free – which is inaccessible to the deaf and hard of hearing because of Harvard's failure to provide captioning.” </w:t>
      </w:r>
      <w:r>
        <w:rPr>
          <w:rFonts w:ascii="Times New Roman" w:hAnsi="Times New Roman"/>
          <w:i/>
          <w:color w:val="1f1f1f"/>
          <w:sz w:val="20"/>
        </w:rPr>
        <w:t>Id.</w:t>
      </w:r>
      <w:r>
        <w:rPr>
          <w:rFonts w:ascii="Times New Roman" w:hAnsi="Times New Roman"/>
          <w:color w:val="1f1f1f"/>
          <w:sz w:val="20"/>
        </w:rPr>
        <w:t xml:space="preserve">, at *12. For purposes of its motion to dismiss, Harvard “ ‘assume[d] arguendo that Title III applie[d] to its websites.’ ” </w:t>
      </w:r>
      <w:r>
        <w:rPr>
          <w:rFonts w:ascii="Times New Roman" w:hAnsi="Times New Roman"/>
          <w:i/>
          <w:color w:val="1f1f1f"/>
          <w:sz w:val="20"/>
        </w:rPr>
        <w:t>Id.</w:t>
      </w:r>
      <w:r>
        <w:rPr>
          <w:rFonts w:ascii="Times New Roman" w:hAnsi="Times New Roman"/>
          <w:color w:val="1f1f1f"/>
          <w:sz w:val="20"/>
        </w:rPr>
        <w:t>, at *4 n.5. Harvard now revokes this assumption, contending that Plaintiffs' ADA claim is inadequately pled because Harvard's websites are not themselves “</w:t>
      </w:r>
      <w:r>
        <w:rPr>
          <w:rFonts w:ascii="Times New Roman" w:hAnsi="Times New Roman"/>
          <w:i/>
          <w:color w:val="1f1f1f"/>
          <w:sz w:val="20"/>
        </w:rPr>
        <w:t>place[s]</w:t>
      </w:r>
      <w:r>
        <w:rPr>
          <w:rFonts w:ascii="Times New Roman" w:hAnsi="Times New Roman"/>
          <w:color w:val="1f1f1f"/>
          <w:sz w:val="20"/>
        </w:rPr>
        <w:t xml:space="preserve"> of public accommodation,” and that Plaintiffs fail to allege “a sufficient nexus with a good or service provided at a physical location” (Dkt. No. 141 at 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Title III of the ADA provides that “[t]he following private entities are considered public accommodations for purposes of this subchapter, if the operations of such entities affect commerce – ... (J) a nursery, elementary, secondary, undergraduate, or postgraduate private school, or other place </w:t>
      </w:r>
      <w:bookmarkStart w:id="188" w:name="co_pp_sp_7903_58_1"/>
      <w:r>
        <w:rPr>
          <w:rFonts w:ascii="Times New Roman" w:hAnsi="Times New Roman"/>
          <w:b/>
          <w:color w:val="000000"/>
          <w:sz w:val="20"/>
        </w:rPr>
        <w:t>*58</w:t>
      </w:r>
      <w:bookmarkEnd w:id="188"/>
      <w:r>
        <w:rPr>
          <w:rFonts w:ascii="Times New Roman" w:hAnsi="Times New Roman"/>
          <w:color w:val="1f1f1f"/>
          <w:sz w:val="20"/>
        </w:rPr>
        <w:t xml:space="preserve"> of education.” </w:t>
      </w:r>
      <w:hyperlink r:id="r189">
        <w:r>
          <w:rPr>
            <w:rFonts w:ascii="Times New Roman" w:hAnsi="Times New Roman"/>
            <w:color w:val="006fc4"/>
            <w:sz w:val="20"/>
          </w:rPr>
          <w:t>42 U.S.C. § 12181(7)</w:t>
        </w:r>
      </w:hyperlink>
      <w:r>
        <w:rPr>
          <w:rFonts w:ascii="Times New Roman" w:hAnsi="Times New Roman"/>
          <w:color w:val="1f1f1f"/>
          <w:sz w:val="20"/>
        </w:rPr>
        <w:t xml:space="preserve">. Harvard agrees that it is a “public accommodation” within the meaning of Title III, which sets forth a general prohibition against discrimination by public accommodations by providing that “[n]o individual shall be discriminated against on the basis of disability in the full and equal enjoyment of the goods, services, facilities, privileges, advantages, or accommodations of any place of public accommodation by any person who ... operates a place of public accommodation.” </w:t>
      </w:r>
      <w:hyperlink r:id="r190">
        <w:r>
          <w:rPr>
            <w:rFonts w:ascii="Times New Roman" w:hAnsi="Times New Roman"/>
            <w:color w:val="006fc4"/>
            <w:sz w:val="20"/>
          </w:rPr>
          <w:t>42 U.S.C. § 12182(a)</w:t>
        </w:r>
      </w:hyperlink>
      <w:r>
        <w:rPr>
          <w:rFonts w:ascii="Times New Roman" w:hAnsi="Times New Roman"/>
          <w:color w:val="1f1f1f"/>
          <w:sz w:val="20"/>
        </w:rPr>
        <w:t xml:space="preserve">. Harvard asserts that, to give meaning to each word in the statute, a “place” of public accommodation must be an actual physical location and, to successfully state a claim, a Title III plaintiff must plead a sufficient nexus to goods or services offered to the public in a physical location, which Plaintiffs have not done. The First Circuit's decision in </w:t>
      </w:r>
      <w:hyperlink r:id="r191">
        <w:r>
          <w:rPr>
            <w:rFonts w:ascii="Times New Roman" w:hAnsi="Times New Roman"/>
            <w:i/>
            <w:color w:val="006fc4"/>
            <w:sz w:val="20"/>
          </w:rPr>
          <w:t>Carparts Distribution Center, Inc. v. Automotive Wholesaler's Association of New England, Inc.</w:t>
        </w:r>
        <w:r>
          <w:rPr>
            <w:rFonts w:ascii="Times New Roman" w:hAnsi="Times New Roman"/>
            <w:color w:val="006fc4"/>
            <w:sz w:val="20"/>
          </w:rPr>
          <w:t>, 37 F.3d 12 (1st Cir. 1994)</w:t>
        </w:r>
      </w:hyperlink>
      <w:r>
        <w:rPr>
          <w:rFonts w:ascii="Times New Roman" w:hAnsi="Times New Roman"/>
          <w:color w:val="1f1f1f"/>
          <w:sz w:val="20"/>
        </w:rPr>
        <w:t xml:space="preserve">, Harvard contends, did not discard this physical location requirement, because the First Circuit was not required to decide in </w:t>
      </w:r>
      <w:r>
        <w:rPr>
          <w:rFonts w:ascii="Times New Roman" w:hAnsi="Times New Roman"/>
          <w:i/>
          <w:color w:val="1f1f1f"/>
          <w:sz w:val="20"/>
        </w:rPr>
        <w:t>Carparts</w:t>
      </w:r>
      <w:r>
        <w:rPr>
          <w:rFonts w:ascii="Times New Roman" w:hAnsi="Times New Roman"/>
          <w:color w:val="1f1f1f"/>
          <w:sz w:val="20"/>
        </w:rPr>
        <w:t xml:space="preserve"> whether, as some other courts have held, Title III requires a connection to goods or services offered in a public accommodation's physical location (Dkt. No. 141 at 2-8). Plaintiffs respond that no nexus is required between a public accommodation's allegedly inaccessible services and a physical location in this circuit, but, even if one is, Harvard is a physical place and its online public offerings are among its services (Dkt. No. 147 at 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i/>
          <w:color w:val="1f1f1f"/>
          <w:sz w:val="20"/>
        </w:rPr>
        <w:t>Carparts</w:t>
      </w:r>
      <w:r>
        <w:rPr>
          <w:rFonts w:ascii="Times New Roman" w:hAnsi="Times New Roman"/>
          <w:color w:val="1f1f1f"/>
          <w:sz w:val="20"/>
        </w:rPr>
        <w:t xml:space="preserve"> addressed the question of whether the ADA's prohibition on discrimination by a public accommodation on the basis of disability applied to a lifetime cap on health benefits for AIDS-related illnesses in a medical reimbursement plan offered by the defendants. </w:t>
      </w:r>
      <w:hyperlink r:id="r192">
        <w:r>
          <w:rPr>
            <w:rFonts w:ascii="Times New Roman" w:hAnsi="Times New Roman"/>
            <w:i/>
            <w:color w:val="006fc4"/>
            <w:sz w:val="20"/>
          </w:rPr>
          <w:t>Carparts</w:t>
        </w:r>
        <w:r>
          <w:rPr>
            <w:rFonts w:ascii="Times New Roman" w:hAnsi="Times New Roman"/>
            <w:color w:val="006fc4"/>
            <w:sz w:val="20"/>
          </w:rPr>
          <w:t>, 37 F.3d at 14</w:t>
        </w:r>
      </w:hyperlink>
      <w:r>
        <w:rPr>
          <w:rFonts w:ascii="Times New Roman" w:hAnsi="Times New Roman"/>
          <w:color w:val="1f1f1f"/>
          <w:sz w:val="20"/>
        </w:rPr>
        <w:t xml:space="preserve">. Dismissing plaintiffs' claims, the district court held that Title III of the ADA only applied to public accommodations that were “actual physical structures with definite physical boundaries which a person physically enters for the purpose of utilizing the facilities or obtaining services therein.” </w:t>
      </w:r>
      <w:hyperlink r:id="r193">
        <w:r>
          <w:rPr>
            <w:rFonts w:ascii="Times New Roman" w:hAnsi="Times New Roman"/>
            <w:i/>
            <w:color w:val="006fc4"/>
            <w:sz w:val="20"/>
          </w:rPr>
          <w:t>Id.</w:t>
        </w:r>
        <w:r>
          <w:rPr>
            <w:rFonts w:ascii="Times New Roman" w:hAnsi="Times New Roman"/>
            <w:color w:val="006fc4"/>
            <w:sz w:val="20"/>
          </w:rPr>
          <w:t xml:space="preserve"> at 18</w:t>
        </w:r>
      </w:hyperlink>
      <w:r>
        <w:rPr>
          <w:rFonts w:ascii="Times New Roman" w:hAnsi="Times New Roman"/>
          <w:color w:val="1f1f1f"/>
          <w:sz w:val="20"/>
        </w:rPr>
        <w:t xml:space="preserve"> (internal quotation omitted). The First Circuit reversed the district court, holding that the “plain meaning of the terms do not require ‘public accommodations’ to have physical structures for persons to enter.” </w:t>
      </w:r>
      <w:hyperlink r:id="r194">
        <w:r>
          <w:rPr>
            <w:rFonts w:ascii="Times New Roman" w:hAnsi="Times New Roman"/>
            <w:i/>
            <w:color w:val="006fc4"/>
            <w:sz w:val="20"/>
          </w:rPr>
          <w:t>Id.</w:t>
        </w:r>
        <w:r>
          <w:rPr>
            <w:rFonts w:ascii="Times New Roman" w:hAnsi="Times New Roman"/>
            <w:color w:val="006fc4"/>
            <w:sz w:val="20"/>
          </w:rPr>
          <w:t xml:space="preserve"> at 19</w:t>
        </w:r>
      </w:hyperlink>
      <w:r>
        <w:rPr>
          <w:rFonts w:ascii="Times New Roman" w:hAnsi="Times New Roman"/>
          <w:color w:val="1f1f1f"/>
          <w:sz w:val="20"/>
        </w:rPr>
        <w:t xml:space="preserve">. The court went on to observe that even if the language of Title III was ambiguous, that ambiguity, “considered together with agency regulations and public policy concerns, persuades [the court] that the phrase is not limited to actual physical structures.” </w:t>
      </w:r>
      <w:r>
        <w:rPr>
          <w:rFonts w:ascii="Times New Roman" w:hAnsi="Times New Roman"/>
          <w:i/>
          <w:color w:val="1f1f1f"/>
          <w:sz w:val="20"/>
        </w:rPr>
        <w:t>Id.</w:t>
      </w:r>
      <w:r>
        <w:rPr>
          <w:rFonts w:ascii="Times New Roman" w:hAnsi="Times New Roman"/>
          <w:color w:val="1f1f1f"/>
          <w:sz w:val="20"/>
        </w:rPr>
        <w:t xml:space="preserve"> This pronouncement was not dicta because the good or service to which the </w:t>
      </w:r>
      <w:r>
        <w:rPr>
          <w:rFonts w:ascii="Times New Roman" w:hAnsi="Times New Roman"/>
          <w:i/>
          <w:color w:val="1f1f1f"/>
          <w:sz w:val="20"/>
        </w:rPr>
        <w:t>Carparts</w:t>
      </w:r>
      <w:r>
        <w:rPr>
          <w:rFonts w:ascii="Times New Roman" w:hAnsi="Times New Roman"/>
          <w:color w:val="1f1f1f"/>
          <w:sz w:val="20"/>
        </w:rPr>
        <w:t xml:space="preserve"> plaintiffs sought access – an insurance plan structured so that it did not discriminate against an HIV-positive individual – was a good or service unconnected to any physical location operated by the defendants.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Second and Seventh Circuits have similarly interpreted Title III's general rule against disability discrimination as reaching beyond physical locations of public accommodations. In 1999, citing </w:t>
      </w:r>
      <w:r>
        <w:rPr>
          <w:rFonts w:ascii="Times New Roman" w:hAnsi="Times New Roman"/>
          <w:i/>
          <w:color w:val="1f1f1f"/>
          <w:sz w:val="20"/>
        </w:rPr>
        <w:t>Carparts</w:t>
      </w:r>
      <w:r>
        <w:rPr>
          <w:rFonts w:ascii="Times New Roman" w:hAnsi="Times New Roman"/>
          <w:color w:val="1f1f1f"/>
          <w:sz w:val="20"/>
        </w:rPr>
        <w:t xml:space="preserve">, the Second Circuit rejected the defendant insurance company's argument that Title III was only intended to ensure that the disabled have physical access to an insurance company's offices, not freedom from discrimination in its underwriting. The statute, the court held, “was meant to guarantee ... more than mere physical access.” </w:t>
      </w:r>
      <w:hyperlink r:id="r195">
        <w:r>
          <w:rPr>
            <w:rFonts w:ascii="Times New Roman" w:hAnsi="Times New Roman"/>
            <w:i/>
            <w:color w:val="006fc4"/>
            <w:sz w:val="20"/>
          </w:rPr>
          <w:t>Pallozzi v. Allstate Life Ins. Co.</w:t>
        </w:r>
        <w:r>
          <w:rPr>
            <w:rFonts w:ascii="Times New Roman" w:hAnsi="Times New Roman"/>
            <w:color w:val="006fc4"/>
            <w:sz w:val="20"/>
          </w:rPr>
          <w:t>, 198 F.3d 28, 32 (2d Cir. 1999)</w:t>
        </w:r>
      </w:hyperlink>
      <w:r>
        <w:rPr>
          <w:rFonts w:ascii="Times New Roman" w:hAnsi="Times New Roman"/>
          <w:color w:val="1f1f1f"/>
          <w:sz w:val="20"/>
        </w:rPr>
        <w:t xml:space="preserve">, </w:t>
      </w:r>
      <w:r>
        <w:rPr>
          <w:rFonts w:ascii="Times New Roman" w:hAnsi="Times New Roman"/>
          <w:i/>
          <w:color w:val="1f1f1f"/>
          <w:sz w:val="20"/>
        </w:rPr>
        <w:t>opinion amended on denial of reh'g</w:t>
      </w:r>
      <w:r>
        <w:rPr>
          <w:rFonts w:ascii="Times New Roman" w:hAnsi="Times New Roman"/>
          <w:color w:val="1f1f1f"/>
          <w:sz w:val="20"/>
        </w:rPr>
        <w:t xml:space="preserve">, </w:t>
      </w:r>
      <w:hyperlink r:id="r196">
        <w:r>
          <w:rPr>
            <w:rFonts w:ascii="Times New Roman" w:hAnsi="Times New Roman"/>
            <w:color w:val="006fc4"/>
            <w:sz w:val="20"/>
          </w:rPr>
          <w:t>204 F.3d 392 (2d Cir. 2000)</w:t>
        </w:r>
      </w:hyperlink>
      <w:r>
        <w:rPr>
          <w:rFonts w:ascii="Times New Roman" w:hAnsi="Times New Roman"/>
          <w:color w:val="1f1f1f"/>
          <w:sz w:val="20"/>
        </w:rPr>
        <w:t>. That same year, the Seventh Circuit held that the “core meaning” of Title III's general rule against disability discrimination was</w:t>
      </w:r>
    </w:p>
    <w:p>
      <w:pPr>
        <w:spacing w:before="200" w:after="0" w:line="275" w:lineRule="atLeast"/>
        <w:ind w:left="480" w:right="480" w:firstLine="0"/>
        <w:jc w:val="both"/>
      </w:pPr>
      <w:bookmarkStart w:id="189" w:name="co_pp_sp_7903_59_1"/>
      <w:r>
        <w:rPr>
          <w:rFonts w:ascii="Times New Roman" w:hAnsi="Times New Roman"/>
          <w:b/>
          <w:color w:val="000000"/>
          <w:sz w:val="20"/>
        </w:rPr>
        <w:t>*59</w:t>
      </w:r>
      <w:bookmarkEnd w:id="189"/>
      <w:r>
        <w:rPr>
          <w:rFonts w:ascii="Times New Roman" w:hAnsi="Times New Roman"/>
          <w:color w:val="1f1f1f"/>
          <w:sz w:val="20"/>
        </w:rPr>
        <w:t xml:space="preserve"> plainly enough, ... that the owner or operator of a store, hotel, restaurant, dentist's office, travel agency, theater, Web site, or other facility (whether in physical space or in electronic space, ...) that is open to the public cannot exclude disabled persons from entering the facility and, once in, from using the facility in the same way that the nondisabled do.</w:t>
      </w:r>
    </w:p>
    <w:p>
      <w:pPr>
        <w:spacing w:before="200" w:after="0" w:line="275" w:lineRule="atLeast"/>
        <w:jc w:val="both"/>
      </w:pPr>
      <w:hyperlink r:id="r197">
        <w:r>
          <w:rPr>
            <w:rFonts w:ascii="Times New Roman" w:hAnsi="Times New Roman"/>
            <w:i/>
            <w:color w:val="006fc4"/>
            <w:sz w:val="20"/>
          </w:rPr>
          <w:t>Doe v. Mut. of Omaha Ins. Co.</w:t>
        </w:r>
        <w:r>
          <w:rPr>
            <w:rFonts w:ascii="Times New Roman" w:hAnsi="Times New Roman"/>
            <w:color w:val="006fc4"/>
            <w:sz w:val="20"/>
          </w:rPr>
          <w:t>, 179 F.3d 557, 559 (7th Cir. 1999)</w:t>
        </w:r>
      </w:hyperlink>
      <w:r>
        <w:rPr>
          <w:rFonts w:ascii="Times New Roman" w:hAnsi="Times New Roman"/>
          <w:color w:val="1f1f1f"/>
          <w:sz w:val="20"/>
        </w:rPr>
        <w:t xml:space="preserve"> (citing </w:t>
      </w:r>
      <w:hyperlink r:id="r198">
        <w:r>
          <w:rPr>
            <w:rFonts w:ascii="Times New Roman" w:hAnsi="Times New Roman"/>
            <w:i/>
            <w:color w:val="006fc4"/>
            <w:sz w:val="20"/>
          </w:rPr>
          <w:t>Carparts,</w:t>
        </w:r>
        <w:r>
          <w:rPr>
            <w:rFonts w:ascii="Times New Roman" w:hAnsi="Times New Roman"/>
            <w:color w:val="006fc4"/>
            <w:sz w:val="20"/>
          </w:rPr>
          <w:t xml:space="preserve"> 37 F.3d at 19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Other circuits have parted company with the First, Second, and Seventh Circuits, concluding that the phrase “place of public accommodation” in Title III requires “some connection between the good or service complained of and an actual physical place.” </w:t>
      </w:r>
      <w:hyperlink r:id="r199">
        <w:r>
          <w:rPr>
            <w:rFonts w:ascii="Times New Roman" w:hAnsi="Times New Roman"/>
            <w:i/>
            <w:color w:val="006fc4"/>
            <w:sz w:val="20"/>
          </w:rPr>
          <w:t>Weyer v. Twentieth Century Fox Film Corp.</w:t>
        </w:r>
        <w:r>
          <w:rPr>
            <w:rFonts w:ascii="Times New Roman" w:hAnsi="Times New Roman"/>
            <w:color w:val="006fc4"/>
            <w:sz w:val="20"/>
          </w:rPr>
          <w:t>, 198 F.3d 1104, 1114 (9th Cir. 2000)</w:t>
        </w:r>
      </w:hyperlink>
      <w:r>
        <w:rPr>
          <w:rFonts w:ascii="Times New Roman" w:hAnsi="Times New Roman"/>
          <w:color w:val="1f1f1f"/>
          <w:sz w:val="20"/>
        </w:rPr>
        <w:t xml:space="preserve">. </w:t>
      </w:r>
      <w:r>
        <w:rPr>
          <w:rFonts w:ascii="Times New Roman" w:hAnsi="Times New Roman"/>
          <w:i/>
          <w:color w:val="1f1f1f"/>
          <w:sz w:val="20"/>
        </w:rPr>
        <w:t>Accord</w:t>
      </w:r>
      <w:r>
        <w:rPr>
          <w:rFonts w:ascii="Times New Roman" w:hAnsi="Times New Roman"/>
          <w:color w:val="1f1f1f"/>
          <w:sz w:val="20"/>
        </w:rPr>
        <w:t xml:space="preserve"> </w:t>
      </w:r>
      <w:hyperlink r:id="r200">
        <w:r>
          <w:rPr>
            <w:rFonts w:ascii="Times New Roman" w:hAnsi="Times New Roman"/>
            <w:i/>
            <w:color w:val="006fc4"/>
            <w:sz w:val="20"/>
          </w:rPr>
          <w:t>Magee v. Coca-Cola Refreshments USA, Inc.</w:t>
        </w:r>
        <w:r>
          <w:rPr>
            <w:rFonts w:ascii="Times New Roman" w:hAnsi="Times New Roman"/>
            <w:color w:val="006fc4"/>
            <w:sz w:val="20"/>
          </w:rPr>
          <w:t>, 833 F.3d 530, 534 n.23 (5th Cir. 2016)</w:t>
        </w:r>
      </w:hyperlink>
      <w:r>
        <w:rPr>
          <w:rFonts w:ascii="Times New Roman" w:hAnsi="Times New Roman"/>
          <w:color w:val="1f1f1f"/>
          <w:sz w:val="20"/>
        </w:rPr>
        <w:t xml:space="preserve"> (“In following the Third, Sixth, and Ninth Circuits, we acknowledge our departure from the precedents of the First, Second, and Seventh Circuits, which have interpreted the term “public accommodation” to extend beyond physical places.”); </w:t>
      </w:r>
      <w:hyperlink r:id="r201">
        <w:r>
          <w:rPr>
            <w:rFonts w:ascii="Times New Roman" w:hAnsi="Times New Roman"/>
            <w:i/>
            <w:color w:val="006fc4"/>
            <w:sz w:val="20"/>
          </w:rPr>
          <w:t>Ford v. Schering-Plough Corp.</w:t>
        </w:r>
        <w:r>
          <w:rPr>
            <w:rFonts w:ascii="Times New Roman" w:hAnsi="Times New Roman"/>
            <w:color w:val="006fc4"/>
            <w:sz w:val="20"/>
          </w:rPr>
          <w:t>, 145 F.3d 601, 613–14 (3d Cir. 1998)</w:t>
        </w:r>
      </w:hyperlink>
      <w:r>
        <w:rPr>
          <w:rFonts w:ascii="Times New Roman" w:hAnsi="Times New Roman"/>
          <w:color w:val="1f1f1f"/>
          <w:sz w:val="20"/>
        </w:rPr>
        <w:t xml:space="preserve"> (noting that by following Sixth Circuit precedent, the Third Circuit “parted company” with the First Circuit, which had held that “Title III is not limited to physical structures”); </w:t>
      </w:r>
      <w:hyperlink r:id="r202">
        <w:r>
          <w:rPr>
            <w:rFonts w:ascii="Times New Roman" w:hAnsi="Times New Roman"/>
            <w:i/>
            <w:color w:val="006fc4"/>
            <w:sz w:val="20"/>
          </w:rPr>
          <w:t>Stoutenborough v. Nat'l Football League, Inc.</w:t>
        </w:r>
        <w:r>
          <w:rPr>
            <w:rFonts w:ascii="Times New Roman" w:hAnsi="Times New Roman"/>
            <w:color w:val="006fc4"/>
            <w:sz w:val="20"/>
          </w:rPr>
          <w:t>, 59 F.3d 580, 583 (6th Cir. 1995)</w:t>
        </w:r>
      </w:hyperlink>
      <w:r>
        <w:rPr>
          <w:rFonts w:ascii="Times New Roman" w:hAnsi="Times New Roman"/>
          <w:color w:val="1f1f1f"/>
          <w:sz w:val="20"/>
        </w:rPr>
        <w:t>.</w:t>
      </w:r>
      <w:bookmarkStart w:id="190" w:name="co_fnRef_B00062047886627_ID0EWWBI_1"/>
      <w:hyperlink w:anchor="co_footnote_B00062047886627_1">
        <w:r>
          <w:rPr>
            <w:rFonts w:ascii="Times New Roman" w:hAnsi="Times New Roman"/>
            <w:color w:val="006fc4"/>
            <w:sz w:val="16"/>
            <w:vertAlign w:val="superscript"/>
          </w:rPr>
          <w:t>6</w:t>
        </w:r>
      </w:hyperlink>
      <w:bookmarkEnd w:id="190"/>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203">
        <w:r>
          <w:rPr>
            <w:rFonts w:ascii="Times New Roman" w:hAnsi="Times New Roman"/>
            <w:i/>
            <w:color w:val="006fc4"/>
            <w:sz w:val="20"/>
          </w:rPr>
          <w:t>Andrews v. Blick Art Materials, LLC</w:t>
        </w:r>
        <w:r>
          <w:rPr>
            <w:rFonts w:ascii="Times New Roman" w:hAnsi="Times New Roman"/>
            <w:color w:val="006fc4"/>
            <w:sz w:val="20"/>
          </w:rPr>
          <w:t>, 268 F.Supp.3d 381, 388-393 (E.D.N.Y. 2017)</w:t>
        </w:r>
      </w:hyperlink>
      <w:r>
        <w:rPr>
          <w:rFonts w:ascii="Times New Roman" w:hAnsi="Times New Roman"/>
          <w:color w:val="1f1f1f"/>
          <w:sz w:val="20"/>
        </w:rPr>
        <w:t xml:space="preserve"> (describing circuit split).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This split in the circuits is premised to some extent on the invocation of competing canons of statutory construction. There are twelve “public accommodation” categories in the statute. </w:t>
      </w:r>
      <w:r>
        <w:rPr>
          <w:rFonts w:ascii="Times New Roman" w:hAnsi="Times New Roman"/>
          <w:i/>
          <w:color w:val="1f1f1f"/>
          <w:sz w:val="20"/>
        </w:rPr>
        <w:t>See</w:t>
      </w:r>
      <w:r>
        <w:rPr>
          <w:rFonts w:ascii="Times New Roman" w:hAnsi="Times New Roman"/>
          <w:color w:val="1f1f1f"/>
          <w:sz w:val="20"/>
        </w:rPr>
        <w:t xml:space="preserve"> </w:t>
      </w:r>
      <w:hyperlink r:id="r204">
        <w:r>
          <w:rPr>
            <w:rFonts w:ascii="Times New Roman" w:hAnsi="Times New Roman"/>
            <w:color w:val="006fc4"/>
            <w:sz w:val="20"/>
          </w:rPr>
          <w:t>42 U.S.C. § 12181(7)</w:t>
        </w:r>
      </w:hyperlink>
      <w:r>
        <w:rPr>
          <w:rFonts w:ascii="Times New Roman" w:hAnsi="Times New Roman"/>
          <w:color w:val="1f1f1f"/>
          <w:sz w:val="20"/>
        </w:rPr>
        <w:t xml:space="preserve">. Category F includes an illustrative list of service establishments, those being “a laundromat, dry-cleaner, bank, barber shop, beauty shop, travel service, shoe repair service, funeral parlor, gas station, office of an accountant or lawyer, pharmacy, insurance office, professional office of a health care provider, hospital, or other service establishment.” </w:t>
      </w:r>
      <w:hyperlink r:id="r205">
        <w:r>
          <w:rPr>
            <w:rFonts w:ascii="Times New Roman" w:hAnsi="Times New Roman"/>
            <w:color w:val="006fc4"/>
            <w:sz w:val="20"/>
          </w:rPr>
          <w:t>§ 12181(7)(F)</w:t>
        </w:r>
      </w:hyperlink>
      <w:r>
        <w:rPr>
          <w:rFonts w:ascii="Times New Roman" w:hAnsi="Times New Roman"/>
          <w:color w:val="1f1f1f"/>
          <w:sz w:val="20"/>
        </w:rPr>
        <w:t xml:space="preserve">. The First, Second, and Seventh Circuits, viewing the list of service establishments in conjunction with agency regulations, legislative history, and the broad policy goals of the ADA, concluded that the inclusion of “travel service” in the list of service establishments meant that Congress “contemplated that ‘service establishments’ include[d] providers of services which do not require a person to physically enter an actual physical structure.” </w:t>
      </w:r>
      <w:hyperlink r:id="r206">
        <w:r>
          <w:rPr>
            <w:rFonts w:ascii="Times New Roman" w:hAnsi="Times New Roman"/>
            <w:i/>
            <w:color w:val="006fc4"/>
            <w:sz w:val="20"/>
          </w:rPr>
          <w:t>Carparts</w:t>
        </w:r>
        <w:r>
          <w:rPr>
            <w:rFonts w:ascii="Times New Roman" w:hAnsi="Times New Roman"/>
            <w:color w:val="006fc4"/>
            <w:sz w:val="20"/>
          </w:rPr>
          <w:t>, 37 F.3d at 19</w:t>
        </w:r>
      </w:hyperlink>
      <w:r>
        <w:rPr>
          <w:rFonts w:ascii="Times New Roman" w:hAnsi="Times New Roman"/>
          <w:color w:val="1f1f1f"/>
          <w:sz w:val="20"/>
        </w:rPr>
        <w:t xml:space="preserve">. </w:t>
      </w:r>
      <w:r>
        <w:rPr>
          <w:rFonts w:ascii="Times New Roman" w:hAnsi="Times New Roman"/>
          <w:i/>
          <w:color w:val="1f1f1f"/>
          <w:sz w:val="20"/>
        </w:rPr>
        <w:t>Accord</w:t>
      </w:r>
      <w:r>
        <w:rPr>
          <w:rFonts w:ascii="Times New Roman" w:hAnsi="Times New Roman"/>
          <w:color w:val="1f1f1f"/>
          <w:sz w:val="20"/>
        </w:rPr>
        <w:t xml:space="preserve"> </w:t>
      </w:r>
      <w:hyperlink r:id="r207">
        <w:r>
          <w:rPr>
            <w:rFonts w:ascii="Times New Roman" w:hAnsi="Times New Roman"/>
            <w:i/>
            <w:color w:val="006fc4"/>
            <w:sz w:val="20"/>
          </w:rPr>
          <w:t>Pallozzi</w:t>
        </w:r>
        <w:r>
          <w:rPr>
            <w:rFonts w:ascii="Times New Roman" w:hAnsi="Times New Roman"/>
            <w:color w:val="006fc4"/>
            <w:sz w:val="20"/>
          </w:rPr>
          <w:t>, 198 F.3d at 32–33</w:t>
        </w:r>
      </w:hyperlink>
      <w:r>
        <w:rPr>
          <w:rFonts w:ascii="Times New Roman" w:hAnsi="Times New Roman"/>
          <w:color w:val="1f1f1f"/>
          <w:sz w:val="20"/>
        </w:rPr>
        <w:t xml:space="preserve">; </w:t>
      </w:r>
      <w:hyperlink r:id="r208">
        <w:r>
          <w:rPr>
            <w:rFonts w:ascii="Times New Roman" w:hAnsi="Times New Roman"/>
            <w:i/>
            <w:color w:val="006fc4"/>
            <w:sz w:val="20"/>
          </w:rPr>
          <w:t>Mut. of Omaha Ins. Co.</w:t>
        </w:r>
        <w:r>
          <w:rPr>
            <w:rFonts w:ascii="Times New Roman" w:hAnsi="Times New Roman"/>
            <w:color w:val="006fc4"/>
            <w:sz w:val="20"/>
          </w:rPr>
          <w:t>, 179 F.3d at 558–59</w:t>
        </w:r>
      </w:hyperlink>
      <w:r>
        <w:rPr>
          <w:rFonts w:ascii="Times New Roman" w:hAnsi="Times New Roman"/>
          <w:color w:val="1f1f1f"/>
          <w:sz w:val="20"/>
        </w:rPr>
        <w:t xml:space="preserve">. The Third, Fifth, Sixth, and Ninth Circuits, relying on the principle of </w:t>
      </w:r>
      <w:r>
        <w:rPr>
          <w:rFonts w:ascii="Times New Roman" w:hAnsi="Times New Roman"/>
          <w:i/>
          <w:color w:val="1f1f1f"/>
          <w:sz w:val="20"/>
        </w:rPr>
        <w:t>noscitur a sociis</w:t>
      </w:r>
      <w:r>
        <w:rPr>
          <w:rFonts w:ascii="Times New Roman" w:hAnsi="Times New Roman"/>
          <w:color w:val="1f1f1f"/>
          <w:sz w:val="20"/>
        </w:rPr>
        <w:t xml:space="preserve"> (“known by its associates”), concluded that because “[e]very term listed in </w:t>
      </w:r>
      <w:hyperlink r:id="r209">
        <w:r>
          <w:rPr>
            <w:rFonts w:ascii="Times New Roman" w:hAnsi="Times New Roman"/>
            <w:color w:val="006fc4"/>
            <w:sz w:val="20"/>
          </w:rPr>
          <w:t>§ 12181(7) and subsection (F)</w:t>
        </w:r>
      </w:hyperlink>
      <w:r>
        <w:rPr>
          <w:rFonts w:ascii="Times New Roman" w:hAnsi="Times New Roman"/>
          <w:color w:val="1f1f1f"/>
          <w:sz w:val="20"/>
        </w:rPr>
        <w:t xml:space="preserve"> is a physical place open to public access,” a place of public accommodation must be, or have a connection to, a physical place. </w:t>
      </w:r>
      <w:hyperlink r:id="r210">
        <w:r>
          <w:rPr>
            <w:rFonts w:ascii="Times New Roman" w:hAnsi="Times New Roman"/>
            <w:i/>
            <w:color w:val="006fc4"/>
            <w:sz w:val="20"/>
          </w:rPr>
          <w:t>Parker v. Metro. Life Ins. Co.</w:t>
        </w:r>
        <w:r>
          <w:rPr>
            <w:rFonts w:ascii="Times New Roman" w:hAnsi="Times New Roman"/>
            <w:color w:val="006fc4"/>
            <w:sz w:val="20"/>
          </w:rPr>
          <w:t>, 121 F.3d 1006, 1014 (6th Cir. 1997)</w:t>
        </w:r>
      </w:hyperlink>
      <w:r>
        <w:rPr>
          <w:rFonts w:ascii="Times New Roman" w:hAnsi="Times New Roman"/>
          <w:color w:val="1f1f1f"/>
          <w:sz w:val="20"/>
        </w:rPr>
        <w:t xml:space="preserve">. </w:t>
      </w:r>
      <w:r>
        <w:rPr>
          <w:rFonts w:ascii="Times New Roman" w:hAnsi="Times New Roman"/>
          <w:i/>
          <w:color w:val="1f1f1f"/>
          <w:sz w:val="20"/>
        </w:rPr>
        <w:t>Accord</w:t>
      </w:r>
      <w:r>
        <w:rPr>
          <w:rFonts w:ascii="Times New Roman" w:hAnsi="Times New Roman"/>
          <w:color w:val="1f1f1f"/>
          <w:sz w:val="20"/>
        </w:rPr>
        <w:t xml:space="preserve"> </w:t>
      </w:r>
      <w:bookmarkStart w:id="191" w:name="co_pp_sp_7903_60_1"/>
      <w:r>
        <w:rPr>
          <w:rFonts w:ascii="Times New Roman" w:hAnsi="Times New Roman"/>
          <w:b/>
          <w:color w:val="000000"/>
          <w:sz w:val="20"/>
        </w:rPr>
        <w:t>*60</w:t>
      </w:r>
      <w:bookmarkEnd w:id="191"/>
      <w:r>
        <w:rPr>
          <w:rFonts w:ascii="Times New Roman" w:hAnsi="Times New Roman"/>
          <w:color w:val="1f1f1f"/>
          <w:sz w:val="20"/>
        </w:rPr>
        <w:t xml:space="preserve"> </w:t>
      </w:r>
      <w:hyperlink r:id="r211">
        <w:r>
          <w:rPr>
            <w:rFonts w:ascii="Times New Roman" w:hAnsi="Times New Roman"/>
            <w:i/>
            <w:color w:val="006fc4"/>
            <w:sz w:val="20"/>
          </w:rPr>
          <w:t>Magee</w:t>
        </w:r>
        <w:r>
          <w:rPr>
            <w:rFonts w:ascii="Times New Roman" w:hAnsi="Times New Roman"/>
            <w:color w:val="006fc4"/>
            <w:sz w:val="20"/>
          </w:rPr>
          <w:t>, 833 F.3d at 534–35</w:t>
        </w:r>
      </w:hyperlink>
      <w:r>
        <w:rPr>
          <w:rFonts w:ascii="Times New Roman" w:hAnsi="Times New Roman"/>
          <w:color w:val="1f1f1f"/>
          <w:sz w:val="20"/>
        </w:rPr>
        <w:t xml:space="preserve">; </w:t>
      </w:r>
      <w:hyperlink r:id="r212">
        <w:r>
          <w:rPr>
            <w:rFonts w:ascii="Times New Roman" w:hAnsi="Times New Roman"/>
            <w:i/>
            <w:color w:val="006fc4"/>
            <w:sz w:val="20"/>
          </w:rPr>
          <w:t>Weyer</w:t>
        </w:r>
        <w:r>
          <w:rPr>
            <w:rFonts w:ascii="Times New Roman" w:hAnsi="Times New Roman"/>
            <w:color w:val="006fc4"/>
            <w:sz w:val="20"/>
          </w:rPr>
          <w:t>, 198 F.3d at 1114</w:t>
        </w:r>
      </w:hyperlink>
      <w:r>
        <w:rPr>
          <w:rFonts w:ascii="Times New Roman" w:hAnsi="Times New Roman"/>
          <w:color w:val="1f1f1f"/>
          <w:sz w:val="20"/>
        </w:rPr>
        <w:t xml:space="preserve">; </w:t>
      </w:r>
      <w:hyperlink r:id="r213">
        <w:r>
          <w:rPr>
            <w:rFonts w:ascii="Times New Roman" w:hAnsi="Times New Roman"/>
            <w:i/>
            <w:color w:val="006fc4"/>
            <w:sz w:val="20"/>
          </w:rPr>
          <w:t>Ford</w:t>
        </w:r>
        <w:r>
          <w:rPr>
            <w:rFonts w:ascii="Times New Roman" w:hAnsi="Times New Roman"/>
            <w:color w:val="006fc4"/>
            <w:sz w:val="20"/>
          </w:rPr>
          <w:t>, 145 F.3d at 613–14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92047886627_1">
        <w:r>
          <w:rPr>
            <w:rFonts w:ascii="Times New Roman" w:hAnsi="Times New Roman"/>
            <w:b/>
            <w:color w:val="252525"/>
            <w:sz w:val="20"/>
            <w:bdr w:val="none" w:space="2"/>
            <w:vertAlign w:val="superscript"/>
          </w:rPr>
          <w:t>[9]</w:t>
        </w:r>
      </w:hyperlink>
      <w:r>
        <w:rPr>
          <w:rFonts w:ascii="Times New Roman" w:hAnsi="Times New Roman"/>
          <w:color w:val="1f1f1f"/>
          <w:sz w:val="20"/>
        </w:rPr>
        <w:t xml:space="preserve">Harvard does not dispute that </w:t>
      </w:r>
      <w:r>
        <w:rPr>
          <w:rFonts w:ascii="Times New Roman" w:hAnsi="Times New Roman"/>
          <w:i/>
          <w:color w:val="1f1f1f"/>
          <w:sz w:val="20"/>
        </w:rPr>
        <w:t>Carparts</w:t>
      </w:r>
      <w:r>
        <w:rPr>
          <w:rFonts w:ascii="Times New Roman" w:hAnsi="Times New Roman"/>
          <w:color w:val="1f1f1f"/>
          <w:sz w:val="20"/>
        </w:rPr>
        <w:t xml:space="preserve"> is binding on this court, nor does Harvard dispute that some services offered online are subject to Title III's general rule prohibiting discrimination by public accommodations. Relying on cases decided by district courts in other circuits that have held that website accessibility claims rise or fall depending on whether the challenged website has a nexus to a service provided in a public accommodation's bricks and mortar location, </w:t>
      </w:r>
      <w:r>
        <w:rPr>
          <w:rFonts w:ascii="Times New Roman" w:hAnsi="Times New Roman"/>
          <w:i/>
          <w:color w:val="1f1f1f"/>
          <w:sz w:val="20"/>
        </w:rPr>
        <w:t>see, e.g.,</w:t>
      </w:r>
      <w:r>
        <w:rPr>
          <w:rFonts w:ascii="Times New Roman" w:hAnsi="Times New Roman"/>
          <w:color w:val="1f1f1f"/>
          <w:sz w:val="20"/>
        </w:rPr>
        <w:t xml:space="preserve"> </w:t>
      </w:r>
      <w:hyperlink r:id="r214">
        <w:r>
          <w:rPr>
            <w:rFonts w:ascii="Times New Roman" w:hAnsi="Times New Roman"/>
            <w:i/>
            <w:color w:val="006fc4"/>
            <w:sz w:val="20"/>
          </w:rPr>
          <w:t>Gil</w:t>
        </w:r>
        <w:r>
          <w:rPr>
            <w:rFonts w:ascii="Times New Roman" w:hAnsi="Times New Roman"/>
            <w:color w:val="006fc4"/>
            <w:sz w:val="20"/>
          </w:rPr>
          <w:t>, 257 F.Supp.3d at 1348</w:t>
        </w:r>
      </w:hyperlink>
      <w:r>
        <w:rPr>
          <w:rFonts w:ascii="Times New Roman" w:hAnsi="Times New Roman"/>
          <w:color w:val="1f1f1f"/>
          <w:sz w:val="20"/>
        </w:rPr>
        <w:t xml:space="preserve">, Harvard argues that a nexus to a physical place is required by Title III and contends that </w:t>
      </w:r>
      <w:r>
        <w:rPr>
          <w:rFonts w:ascii="Times New Roman" w:hAnsi="Times New Roman"/>
          <w:i/>
          <w:color w:val="1f1f1f"/>
          <w:sz w:val="20"/>
        </w:rPr>
        <w:t>Carparts</w:t>
      </w:r>
      <w:r>
        <w:rPr>
          <w:rFonts w:ascii="Times New Roman" w:hAnsi="Times New Roman"/>
          <w:color w:val="1f1f1f"/>
          <w:sz w:val="20"/>
        </w:rPr>
        <w:t xml:space="preserve"> did not consider and, thus does not rule out, such a nexus requirement. Harvard's argument falls short. The contention that </w:t>
      </w:r>
      <w:r>
        <w:rPr>
          <w:rFonts w:ascii="Times New Roman" w:hAnsi="Times New Roman"/>
          <w:i/>
          <w:color w:val="1f1f1f"/>
          <w:sz w:val="20"/>
        </w:rPr>
        <w:t>Carparts</w:t>
      </w:r>
      <w:r>
        <w:rPr>
          <w:rFonts w:ascii="Times New Roman" w:hAnsi="Times New Roman"/>
          <w:color w:val="1f1f1f"/>
          <w:sz w:val="20"/>
        </w:rPr>
        <w:t xml:space="preserve"> did not discard a nexus requirement is meaningless on its own and incorrect in context. Only “circuits that have concluded that places of public accommodation must be physical spaces have held that the goods and services provided by a public accommodation must have a sufficient nexus to a physical place in order to be covered by the ADA.” </w:t>
      </w:r>
      <w:r>
        <w:rPr>
          <w:rFonts w:ascii="Times New Roman" w:hAnsi="Times New Roman"/>
          <w:i/>
          <w:color w:val="1f1f1f"/>
          <w:sz w:val="20"/>
        </w:rPr>
        <w:t>Id.</w:t>
      </w:r>
      <w:r>
        <w:rPr>
          <w:rFonts w:ascii="Times New Roman" w:hAnsi="Times New Roman"/>
          <w:color w:val="1f1f1f"/>
          <w:sz w:val="20"/>
        </w:rPr>
        <w:t xml:space="preserve"> Further, Harvard fails to acknowledge that the First Circuit's broad pronouncement that to “limit the application of Title III to physical structures which persons must enter to obtain good and services would run afoul of the purposes of the ADA,” </w:t>
      </w:r>
      <w:hyperlink r:id="r215">
        <w:r>
          <w:rPr>
            <w:rFonts w:ascii="Times New Roman" w:hAnsi="Times New Roman"/>
            <w:i/>
            <w:color w:val="006fc4"/>
            <w:sz w:val="20"/>
          </w:rPr>
          <w:t>Carparts</w:t>
        </w:r>
        <w:r>
          <w:rPr>
            <w:rFonts w:ascii="Times New Roman" w:hAnsi="Times New Roman"/>
            <w:color w:val="006fc4"/>
            <w:sz w:val="20"/>
          </w:rPr>
          <w:t>, 37 F.3d at 20</w:t>
        </w:r>
      </w:hyperlink>
      <w:r>
        <w:rPr>
          <w:rFonts w:ascii="Times New Roman" w:hAnsi="Times New Roman"/>
          <w:color w:val="1f1f1f"/>
          <w:sz w:val="20"/>
        </w:rPr>
        <w:t xml:space="preserve">, was made in the context of considering whether plaintiff had stated a disability discrimination claim when that claim had no nexus to any physical location operated by the defendants. Harvard's argument echoes the reasoning of the appeals courts that have “parted ways” with the First Circuit, </w:t>
      </w:r>
      <w:r>
        <w:rPr>
          <w:rFonts w:ascii="Times New Roman" w:hAnsi="Times New Roman"/>
          <w:i/>
          <w:color w:val="1f1f1f"/>
          <w:sz w:val="20"/>
        </w:rPr>
        <w:t>see, e.g.,</w:t>
      </w:r>
      <w:r>
        <w:rPr>
          <w:rFonts w:ascii="Times New Roman" w:hAnsi="Times New Roman"/>
          <w:color w:val="1f1f1f"/>
          <w:sz w:val="20"/>
        </w:rPr>
        <w:t xml:space="preserve"> </w:t>
      </w:r>
      <w:hyperlink r:id="r216">
        <w:r>
          <w:rPr>
            <w:rFonts w:ascii="Times New Roman" w:hAnsi="Times New Roman"/>
            <w:i/>
            <w:color w:val="006fc4"/>
            <w:sz w:val="20"/>
          </w:rPr>
          <w:t>Parker</w:t>
        </w:r>
        <w:r>
          <w:rPr>
            <w:rFonts w:ascii="Times New Roman" w:hAnsi="Times New Roman"/>
            <w:color w:val="006fc4"/>
            <w:sz w:val="20"/>
          </w:rPr>
          <w:t>, 121 F.3d at 1014</w:t>
        </w:r>
      </w:hyperlink>
      <w:r>
        <w:rPr>
          <w:rFonts w:ascii="Times New Roman" w:hAnsi="Times New Roman"/>
          <w:color w:val="1f1f1f"/>
          <w:sz w:val="20"/>
        </w:rPr>
        <w:t xml:space="preserve"> (stating that “[t]o interpret these terms as permitting a place of accommodation to constitute something other than a physical place is to ignore the text of the statute”), which this court cannot do.</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Even assuming arguendo that such a nexus is required, then, drawing all reasonable inferences in Plaintiffs' favor, they have pled such a nexus sufficiently to defeat Defendant's Motion. Harvard operates in a bricks and mortar location (Dkt. No. 141 at 10). Plaintiffs allege that online content Harvard has made available to the general public but failed to make accessible to deaf and hard of hearing individuals includes Harvard@Home presentations designed to “ ‘bring [users] inside the Harvard classroom to hear current, real-life lectures or provide [them] with a front-row seat at recent University panels, Alumni College forums, and other special events’ ” (Compl. at p. 15, ¶¶ 47-48); free, noncredit courses offered through the Harvard Extension School (Compl. at pp. 15-16, ¶ 49); and videos with aural content in the archives of Harvard's Peabody Museum of Archaeology and Ethnology, Harvard's Natural History Museum, the Institute of Politics John F. Kennedy Jr. Forum, Harvard's Life Sciences Outreach Program, and Harvard's Woodberry Poetry Room (Compl. at pp. 16-18, ¶¶ 50-51, 54-56). It may be inferred that this online content is the same as a good or service that is, or was, also available at one or more physical locations at Harvard. </w:t>
      </w:r>
      <w:r>
        <w:rPr>
          <w:rFonts w:ascii="Times New Roman" w:hAnsi="Times New Roman"/>
          <w:i/>
          <w:color w:val="1f1f1f"/>
          <w:sz w:val="20"/>
        </w:rPr>
        <w:t>See</w:t>
      </w:r>
      <w:r>
        <w:rPr>
          <w:rFonts w:ascii="Times New Roman" w:hAnsi="Times New Roman"/>
          <w:color w:val="1f1f1f"/>
          <w:sz w:val="20"/>
        </w:rPr>
        <w:t xml:space="preserve"> </w:t>
      </w:r>
      <w:hyperlink r:id="r217">
        <w:r>
          <w:rPr>
            <w:rFonts w:ascii="Times New Roman" w:hAnsi="Times New Roman"/>
            <w:i/>
            <w:color w:val="006fc4"/>
            <w:sz w:val="20"/>
          </w:rPr>
          <w:t>Gil</w:t>
        </w:r>
        <w:r>
          <w:rPr>
            <w:rFonts w:ascii="Times New Roman" w:hAnsi="Times New Roman"/>
            <w:color w:val="006fc4"/>
            <w:sz w:val="20"/>
          </w:rPr>
          <w:t>, 257 F.Supp.3d at 1349</w:t>
        </w:r>
      </w:hyperlink>
      <w:r>
        <w:rPr>
          <w:rFonts w:ascii="Times New Roman" w:hAnsi="Times New Roman"/>
          <w:color w:val="1f1f1f"/>
          <w:sz w:val="20"/>
        </w:rPr>
        <w:t xml:space="preserve">. Contrary to Harvard's contention, Plaintiffs have pled the existence of inaccessible content on websites that has “a nexus with on-campus activities” (Dkt. No. 141 at 12 n.5). </w:t>
      </w:r>
      <w:r>
        <w:rPr>
          <w:rFonts w:ascii="Times New Roman" w:hAnsi="Times New Roman"/>
          <w:i/>
          <w:color w:val="1f1f1f"/>
          <w:sz w:val="20"/>
        </w:rPr>
        <w:t>Carparts</w:t>
      </w:r>
      <w:r>
        <w:rPr>
          <w:rFonts w:ascii="Times New Roman" w:hAnsi="Times New Roman"/>
          <w:color w:val="1f1f1f"/>
          <w:sz w:val="20"/>
        </w:rPr>
        <w:t xml:space="preserve"> and the contents of the complaint do not leave room for Harvard's argument.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has already rejected Harvard's contention that Plaintiffs have failed to state a claim under the ADA insofar as their complaint extends to content that Harvard “merely hosts” (Dkt. No. 141 at </w:t>
      </w:r>
      <w:bookmarkStart w:id="192" w:name="co_pp_sp_7903_61_1"/>
      <w:r>
        <w:rPr>
          <w:rFonts w:ascii="Times New Roman" w:hAnsi="Times New Roman"/>
          <w:b/>
          <w:color w:val="000000"/>
          <w:sz w:val="20"/>
        </w:rPr>
        <w:t>*61</w:t>
      </w:r>
      <w:bookmarkEnd w:id="192"/>
      <w:r>
        <w:rPr>
          <w:rFonts w:ascii="Times New Roman" w:hAnsi="Times New Roman"/>
          <w:color w:val="1f1f1f"/>
          <w:sz w:val="20"/>
        </w:rPr>
        <w:t xml:space="preserve"> 23). As it did before, Harvard relies on cases involving movie theater captioning, </w:t>
      </w:r>
      <w:r>
        <w:rPr>
          <w:rFonts w:ascii="Times New Roman" w:hAnsi="Times New Roman"/>
          <w:i/>
          <w:color w:val="1f1f1f"/>
          <w:sz w:val="20"/>
        </w:rPr>
        <w:t>see, e.g.,</w:t>
      </w:r>
      <w:r>
        <w:rPr>
          <w:rFonts w:ascii="Times New Roman" w:hAnsi="Times New Roman"/>
          <w:color w:val="1f1f1f"/>
          <w:sz w:val="20"/>
        </w:rPr>
        <w:t xml:space="preserve"> </w:t>
      </w:r>
      <w:hyperlink r:id="r218">
        <w:r>
          <w:rPr>
            <w:rFonts w:ascii="Times New Roman" w:hAnsi="Times New Roman"/>
            <w:i/>
            <w:color w:val="006fc4"/>
            <w:sz w:val="20"/>
          </w:rPr>
          <w:t>Arizona ex rel. Goddard v. Harkins Amusement Enters., Inc.</w:t>
        </w:r>
        <w:r>
          <w:rPr>
            <w:rFonts w:ascii="Times New Roman" w:hAnsi="Times New Roman"/>
            <w:color w:val="006fc4"/>
            <w:sz w:val="20"/>
          </w:rPr>
          <w:t>, 603 F.3d 666 (9th Cir. 2010)</w:t>
        </w:r>
      </w:hyperlink>
      <w:r>
        <w:rPr>
          <w:rFonts w:ascii="Times New Roman" w:hAnsi="Times New Roman"/>
          <w:color w:val="1f1f1f"/>
          <w:sz w:val="20"/>
        </w:rPr>
        <w:t xml:space="preserve">, and the general principle that “the ADA ‘does not require provision of different goods or services, just nondiscriminatory enjoyment of those that are provided.’ ” </w:t>
      </w:r>
      <w:hyperlink r:id="r219">
        <w:r>
          <w:rPr>
            <w:rFonts w:ascii="Times New Roman" w:hAnsi="Times New Roman"/>
            <w:i/>
            <w:color w:val="006fc4"/>
            <w:sz w:val="20"/>
          </w:rPr>
          <w:t>Id.</w:t>
        </w:r>
        <w:r>
          <w:rPr>
            <w:rFonts w:ascii="Times New Roman" w:hAnsi="Times New Roman"/>
            <w:color w:val="006fc4"/>
            <w:sz w:val="20"/>
          </w:rPr>
          <w:t xml:space="preserve"> at 671</w:t>
        </w:r>
      </w:hyperlink>
      <w:r>
        <w:rPr>
          <w:rFonts w:ascii="Times New Roman" w:hAnsi="Times New Roman"/>
          <w:color w:val="1f1f1f"/>
          <w:sz w:val="20"/>
        </w:rPr>
        <w:t xml:space="preserve"> (quoting </w:t>
      </w:r>
      <w:hyperlink r:id="r220">
        <w:r>
          <w:rPr>
            <w:rFonts w:ascii="Times New Roman" w:hAnsi="Times New Roman"/>
            <w:i/>
            <w:color w:val="006fc4"/>
            <w:sz w:val="20"/>
          </w:rPr>
          <w:t>Weyer</w:t>
        </w:r>
        <w:r>
          <w:rPr>
            <w:rFonts w:ascii="Times New Roman" w:hAnsi="Times New Roman"/>
            <w:color w:val="006fc4"/>
            <w:sz w:val="20"/>
          </w:rPr>
          <w:t>, 198 F.3d at 1115</w:t>
        </w:r>
      </w:hyperlink>
      <w:r>
        <w:rPr>
          <w:rFonts w:ascii="Times New Roman" w:hAnsi="Times New Roman"/>
          <w:color w:val="1f1f1f"/>
          <w:sz w:val="20"/>
        </w:rPr>
        <w:t xml:space="preserve">). </w:t>
      </w:r>
      <w:r>
        <w:rPr>
          <w:rFonts w:ascii="Times New Roman" w:hAnsi="Times New Roman"/>
          <w:i/>
          <w:color w:val="1f1f1f"/>
          <w:sz w:val="20"/>
        </w:rPr>
        <w:t>Harkins</w:t>
      </w:r>
      <w:r>
        <w:rPr>
          <w:rFonts w:ascii="Times New Roman" w:hAnsi="Times New Roman"/>
          <w:color w:val="1f1f1f"/>
          <w:sz w:val="20"/>
        </w:rPr>
        <w:t xml:space="preserve"> held that </w:t>
      </w:r>
      <w:r>
        <w:rPr>
          <w:rFonts w:ascii="Times New Roman" w:hAnsi="Times New Roman"/>
          <w:i/>
          <w:color w:val="1f1f1f"/>
          <w:sz w:val="20"/>
        </w:rPr>
        <w:t>Weyer</w:t>
      </w:r>
      <w:r>
        <w:rPr>
          <w:rFonts w:ascii="Times New Roman" w:hAnsi="Times New Roman"/>
          <w:color w:val="1f1f1f"/>
          <w:sz w:val="20"/>
        </w:rPr>
        <w:t xml:space="preserve"> did not limit the Title III requirement “that a public accommodation provide auxiliary aids and services; the requirement that establishments provide auxiliary aids and services limits </w:t>
      </w:r>
      <w:r>
        <w:rPr>
          <w:rFonts w:ascii="Times New Roman" w:hAnsi="Times New Roman"/>
          <w:i/>
          <w:color w:val="1f1f1f"/>
          <w:sz w:val="20"/>
        </w:rPr>
        <w:t>Weyer</w:t>
      </w:r>
      <w:r>
        <w:rPr>
          <w:rFonts w:ascii="Times New Roman" w:hAnsi="Times New Roman"/>
          <w:color w:val="1f1f1f"/>
          <w:sz w:val="20"/>
        </w:rPr>
        <w:t xml:space="preserve">’s general rule that public accommodations do not have to provide different services for the disabled.” </w:t>
      </w:r>
      <w:hyperlink r:id="r221">
        <w:r>
          <w:rPr>
            <w:rFonts w:ascii="Times New Roman" w:hAnsi="Times New Roman"/>
            <w:i/>
            <w:color w:val="006fc4"/>
            <w:sz w:val="20"/>
          </w:rPr>
          <w:t>Id.</w:t>
        </w:r>
        <w:r>
          <w:rPr>
            <w:rFonts w:ascii="Times New Roman" w:hAnsi="Times New Roman"/>
            <w:color w:val="006fc4"/>
            <w:sz w:val="20"/>
          </w:rPr>
          <w:t xml:space="preserve"> at 672</w:t>
        </w:r>
      </w:hyperlink>
      <w:r>
        <w:rPr>
          <w:rFonts w:ascii="Times New Roman" w:hAnsi="Times New Roman"/>
          <w:color w:val="1f1f1f"/>
          <w:sz w:val="20"/>
        </w:rPr>
        <w:t xml:space="preserve">. </w:t>
      </w:r>
      <w:r>
        <w:rPr>
          <w:rFonts w:ascii="Times New Roman" w:hAnsi="Times New Roman"/>
          <w:i/>
          <w:color w:val="1f1f1f"/>
          <w:sz w:val="20"/>
        </w:rPr>
        <w:t>See</w:t>
      </w:r>
      <w:r>
        <w:rPr>
          <w:rFonts w:ascii="Times New Roman" w:hAnsi="Times New Roman"/>
          <w:color w:val="1f1f1f"/>
          <w:sz w:val="20"/>
        </w:rPr>
        <w:t xml:space="preserve"> </w:t>
      </w:r>
      <w:hyperlink r:id="r222">
        <w:r>
          <w:rPr>
            <w:rFonts w:ascii="Times New Roman" w:hAnsi="Times New Roman"/>
            <w:i/>
            <w:color w:val="006fc4"/>
            <w:sz w:val="20"/>
          </w:rPr>
          <w:t>Nat'l Assoc. of the Deaf</w:t>
        </w:r>
        <w:r>
          <w:rPr>
            <w:rFonts w:ascii="Times New Roman" w:hAnsi="Times New Roman"/>
            <w:color w:val="006fc4"/>
            <w:sz w:val="20"/>
          </w:rPr>
          <w:t>, 2016 WL 3561622, at *12</w:t>
        </w:r>
      </w:hyperlink>
      <w:r>
        <w:rPr>
          <w:rFonts w:ascii="Times New Roman" w:hAnsi="Times New Roman"/>
          <w:color w:val="1f1f1f"/>
          <w:sz w:val="20"/>
        </w:rPr>
        <w:t>. The DOJ regulations state as a general principle regarding the provision of auxiliary aids and services that:</w:t>
      </w:r>
    </w:p>
    <w:p>
      <w:pPr>
        <w:spacing w:before="200" w:after="0" w:line="275" w:lineRule="atLeast"/>
        <w:ind w:left="480" w:right="480" w:firstLine="0"/>
        <w:jc w:val="both"/>
      </w:pPr>
      <w:r>
        <w:rPr>
          <w:rFonts w:ascii="Times New Roman" w:hAnsi="Times New Roman"/>
          <w:color w:val="1f1f1f"/>
          <w:sz w:val="20"/>
        </w:rPr>
        <w:t>[a] public accommodation shall take those steps that may be necessary to ensure that no individual with a disability is excluded, denied services, segregated or otherwise treated differently than other individuals because of the absence of auxiliary aids and services, unless the public accommodation can demonstrate that taking those steps would fundamentally alter the nature of the goods, services, facilities, privileges, advantages, or accommodations being offered or would result in an undue burden, i.e., significant difficulty or expense.</w:t>
      </w:r>
    </w:p>
    <w:p>
      <w:pPr>
        <w:spacing w:before="200" w:after="0" w:line="275" w:lineRule="atLeast"/>
        <w:jc w:val="both"/>
      </w:pPr>
      <w:hyperlink r:id="r223">
        <w:r>
          <w:rPr>
            <w:rFonts w:ascii="Times New Roman" w:hAnsi="Times New Roman"/>
            <w:color w:val="006fc4"/>
            <w:sz w:val="20"/>
          </w:rPr>
          <w:t>28 C.F.R. § 36.303(a)</w:t>
        </w:r>
      </w:hyperlink>
      <w:r>
        <w:rPr>
          <w:rFonts w:ascii="Times New Roman" w:hAnsi="Times New Roman"/>
          <w:color w:val="1f1f1f"/>
          <w:sz w:val="20"/>
        </w:rPr>
        <w:t xml:space="preserve">. The regulations further provide, in provisions that govern the obligations of movie theaters to provide auxiliary aid and services, that “[a] public accommodation shall ensure that its movie theater auditoriums provide closed movie captioning and audio description whenever they exhibit a digital movie that is distributed with such features.” </w:t>
      </w:r>
      <w:hyperlink r:id="r224">
        <w:r>
          <w:rPr>
            <w:rFonts w:ascii="Times New Roman" w:hAnsi="Times New Roman"/>
            <w:color w:val="006fc4"/>
            <w:sz w:val="20"/>
          </w:rPr>
          <w:t>28 C.F.R. § 36.303(g)(2)</w:t>
        </w:r>
      </w:hyperlink>
      <w:r>
        <w:rPr>
          <w:rFonts w:ascii="Times New Roman" w:hAnsi="Times New Roman"/>
          <w:color w:val="1f1f1f"/>
          <w:sz w:val="20"/>
        </w:rPr>
        <w:t xml:space="preserve">. A movie theater's obligation in the auxiliary goods and services arena is governed by a specific provision that controls over the more general obligation of public accommodations to “take those steps that may be necessary to ensure that no individual with a disability is excluded,” </w:t>
      </w:r>
      <w:hyperlink r:id="r225">
        <w:r>
          <w:rPr>
            <w:rFonts w:ascii="Times New Roman" w:hAnsi="Times New Roman"/>
            <w:color w:val="006fc4"/>
            <w:sz w:val="20"/>
          </w:rPr>
          <w:t>§ 36.303(a)</w:t>
        </w:r>
      </w:hyperlink>
      <w:r>
        <w:rPr>
          <w:rFonts w:ascii="Times New Roman" w:hAnsi="Times New Roman"/>
          <w:color w:val="1f1f1f"/>
          <w:sz w:val="20"/>
        </w:rPr>
        <w:t xml:space="preserve">, from availing him or herself of goods and services offered by a public accommodation. </w:t>
      </w:r>
      <w:r>
        <w:rPr>
          <w:rFonts w:ascii="Times New Roman" w:hAnsi="Times New Roman"/>
          <w:i/>
          <w:color w:val="1f1f1f"/>
          <w:sz w:val="20"/>
        </w:rPr>
        <w:t>Cf.</w:t>
      </w:r>
      <w:r>
        <w:rPr>
          <w:rFonts w:ascii="Times New Roman" w:hAnsi="Times New Roman"/>
          <w:color w:val="1f1f1f"/>
          <w:sz w:val="20"/>
        </w:rPr>
        <w:t xml:space="preserve"> </w:t>
      </w:r>
      <w:hyperlink r:id="r226">
        <w:r>
          <w:rPr>
            <w:rFonts w:ascii="Times New Roman" w:hAnsi="Times New Roman"/>
            <w:i/>
            <w:color w:val="006fc4"/>
            <w:sz w:val="20"/>
          </w:rPr>
          <w:t>Bloate v. U.S.</w:t>
        </w:r>
        <w:r>
          <w:rPr>
            <w:rFonts w:ascii="Times New Roman" w:hAnsi="Times New Roman"/>
            <w:color w:val="006fc4"/>
            <w:sz w:val="20"/>
          </w:rPr>
          <w:t>, 559 U.S. 196, 207, 130 S.Ct. 1345, 176 L.Ed.2d 54 (2010)</w:t>
        </w:r>
      </w:hyperlink>
      <w:r>
        <w:rPr>
          <w:rFonts w:ascii="Times New Roman" w:hAnsi="Times New Roman"/>
          <w:color w:val="1f1f1f"/>
          <w:sz w:val="20"/>
        </w:rPr>
        <w:t xml:space="preserve"> (stating that, as a matter of statutory interpretation, a specific provision will apply over a provision of more general application). Neither </w:t>
      </w:r>
      <w:r>
        <w:rPr>
          <w:rFonts w:ascii="Times New Roman" w:hAnsi="Times New Roman"/>
          <w:i/>
          <w:color w:val="1f1f1f"/>
          <w:sz w:val="20"/>
        </w:rPr>
        <w:t>Harkins</w:t>
      </w:r>
      <w:r>
        <w:rPr>
          <w:rFonts w:ascii="Times New Roman" w:hAnsi="Times New Roman"/>
          <w:color w:val="1f1f1f"/>
          <w:sz w:val="20"/>
        </w:rPr>
        <w:t xml:space="preserve"> nor the DOJ regulations can be read to state the general principle – argued for by Harvard – that a public accommodation has no obligation to make content that originates with a third party accessible to disabled individuals. The DOJ regulations simply do not limit a public accommodation's obligations as to online content that it chooses to host on its websites and platforms. This “does not mean that Harvard must provide captioning as a matter of law. Harvard ... may be able to demonstrate that providing captioning, or any other available auxiliary aid or service, ‘would fundamentally alter the nature’ of its service or result in an undue burden.” </w:t>
      </w:r>
      <w:hyperlink r:id="r227">
        <w:r>
          <w:rPr>
            <w:rFonts w:ascii="Times New Roman" w:hAnsi="Times New Roman"/>
            <w:i/>
            <w:color w:val="006fc4"/>
            <w:sz w:val="20"/>
          </w:rPr>
          <w:t>Nat'l Assoc. of the Deaf</w:t>
        </w:r>
        <w:r>
          <w:rPr>
            <w:rFonts w:ascii="Times New Roman" w:hAnsi="Times New Roman"/>
            <w:color w:val="006fc4"/>
            <w:sz w:val="20"/>
          </w:rPr>
          <w:t>, 2016 WL 3561622, at *12</w:t>
        </w:r>
      </w:hyperlink>
      <w:r>
        <w:rPr>
          <w:rFonts w:ascii="Times New Roman" w:hAnsi="Times New Roman"/>
          <w:color w:val="1f1f1f"/>
          <w:sz w:val="20"/>
        </w:rPr>
        <w:t xml:space="preserve"> (quoting </w:t>
      </w:r>
      <w:hyperlink r:id="r228">
        <w:r>
          <w:rPr>
            <w:rFonts w:ascii="Times New Roman" w:hAnsi="Times New Roman"/>
            <w:color w:val="006fc4"/>
            <w:sz w:val="20"/>
          </w:rPr>
          <w:t>42 U.S.C. § 12182(b)(2)(A)(iii)</w:t>
        </w:r>
      </w:hyperlink>
      <w:r>
        <w:rPr>
          <w:rFonts w:ascii="Times New Roman" w:hAnsi="Times New Roman"/>
          <w:color w:val="1f1f1f"/>
          <w:sz w:val="20"/>
        </w:rPr>
        <w:t xml:space="preserve">). This is, however, a question of fact unsuitable for resolution on the pleadings. </w:t>
      </w:r>
      <w:r>
        <w:rPr>
          <w:rFonts w:ascii="Times New Roman" w:hAnsi="Times New Roman"/>
          <w:i/>
          <w:color w:val="1f1f1f"/>
          <w:sz w:val="20"/>
        </w:rPr>
        <w:t>See</w:t>
      </w:r>
      <w:r>
        <w:rPr>
          <w:rFonts w:ascii="Times New Roman" w:hAnsi="Times New Roman"/>
          <w:color w:val="1f1f1f"/>
          <w:sz w:val="20"/>
        </w:rPr>
        <w:t xml:space="preserve"> </w:t>
      </w:r>
      <w:hyperlink r:id="r229">
        <w:r>
          <w:rPr>
            <w:rFonts w:ascii="Times New Roman" w:hAnsi="Times New Roman"/>
            <w:i/>
            <w:color w:val="006fc4"/>
            <w:sz w:val="20"/>
          </w:rPr>
          <w:t>Harkins</w:t>
        </w:r>
        <w:r>
          <w:rPr>
            <w:rFonts w:ascii="Times New Roman" w:hAnsi="Times New Roman"/>
            <w:color w:val="006fc4"/>
            <w:sz w:val="20"/>
          </w:rPr>
          <w:t>, 603 F.3d at 675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For the reasons set forth above, the court declines to grant Harvard judgment on the pleadings on Plaintiffs' ADA claim for the reasons advanced in Defendant's Motion.</w:t>
      </w:r>
    </w:p>
    <w:p>
      <w:pPr>
        <w:spacing w:before="0" w:after="0" w:line="275" w:lineRule="atLeast"/>
        <w:jc w:val="both"/>
      </w:pPr>
      <w:r>
        <w:rPr>
          <w:rFonts w:ascii="Times New Roman" w:hAnsi="Times New Roman"/>
          <w:color w:val="1f1f1f"/>
          <w:sz w:val="20"/>
        </w:rPr>
        <w:t> </w:t>
      </w:r>
    </w:p>
    <w:bookmarkStart w:id="193" w:name="co_anchor_I8db78b812db911ee894ea066ce69"/>
    <w:p>
      <w:pPr>
        <w:spacing w:before="400" w:after="0" w:line="275" w:lineRule="atLeast"/>
        <w:jc w:val="center"/>
      </w:pPr>
      <w:r>
        <w:rPr>
          <w:rFonts w:ascii="Times New Roman" w:hAnsi="Times New Roman"/>
          <w:color w:val="1f1f1f"/>
          <w:sz w:val="20"/>
        </w:rPr>
        <w:t xml:space="preserve">2. </w:t>
      </w:r>
      <w:r>
        <w:rPr>
          <w:rFonts w:ascii="Times New Roman" w:hAnsi="Times New Roman"/>
          <w:color w:val="1f1f1f"/>
          <w:sz w:val="20"/>
          <w:u w:val="single" w:color="1f1f1f"/>
        </w:rPr>
        <w:t>Section 504</w:t>
      </w:r>
    </w:p>
    <w:bookmarkEnd w:id="193"/>
    <w:p>
      <w:pPr>
        <w:spacing w:before="200" w:after="0" w:line="275" w:lineRule="atLeast"/>
        <w:jc w:val="both"/>
      </w:pPr>
      <w:hyperlink w:anchor="co_hn_anchor_F102047886627_1">
        <w:r>
          <w:rPr>
            <w:rFonts w:ascii="Times New Roman" w:hAnsi="Times New Roman"/>
            <w:b/>
            <w:color w:val="252525"/>
            <w:sz w:val="20"/>
            <w:bdr w:val="none" w:space="2"/>
            <w:vertAlign w:val="superscript"/>
          </w:rPr>
          <w:t>[10]</w:t>
        </w:r>
      </w:hyperlink>
      <w:r>
        <w:rPr>
          <w:rFonts w:ascii="Times New Roman" w:hAnsi="Times New Roman"/>
          <w:color w:val="1f1f1f"/>
          <w:sz w:val="20"/>
        </w:rPr>
        <w:t xml:space="preserve">In its motion for judgment on the pleadings, Harvard reiterates its assertion, rejected on its motion to dismiss, that the complaint fails to state a claim under Section 504's implementing DOE regulations, </w:t>
      </w:r>
      <w:bookmarkStart w:id="194" w:name="co_pp_sp_7903_62_1"/>
      <w:r>
        <w:rPr>
          <w:rFonts w:ascii="Times New Roman" w:hAnsi="Times New Roman"/>
          <w:b/>
          <w:color w:val="000000"/>
          <w:sz w:val="20"/>
        </w:rPr>
        <w:t>*62</w:t>
      </w:r>
      <w:bookmarkEnd w:id="194"/>
      <w:r>
        <w:rPr>
          <w:rFonts w:ascii="Times New Roman" w:hAnsi="Times New Roman"/>
          <w:color w:val="1f1f1f"/>
          <w:sz w:val="20"/>
        </w:rPr>
        <w:t xml:space="preserve"> which state that federal fund recipients may not deny qualified handicapped individuals, “directly or through contractual, licensing, or other arrangements,” the opportunity to participate in or benefit from aids, benefits, and services provided by a federal funds recipient. </w:t>
      </w:r>
      <w:r>
        <w:rPr>
          <w:rFonts w:ascii="Times New Roman" w:hAnsi="Times New Roman"/>
          <w:i/>
          <w:color w:val="1f1f1f"/>
          <w:sz w:val="20"/>
        </w:rPr>
        <w:t>See</w:t>
      </w:r>
      <w:r>
        <w:rPr>
          <w:rFonts w:ascii="Times New Roman" w:hAnsi="Times New Roman"/>
          <w:color w:val="1f1f1f"/>
          <w:sz w:val="20"/>
        </w:rPr>
        <w:t xml:space="preserve"> </w:t>
      </w:r>
      <w:hyperlink r:id="r230">
        <w:r>
          <w:rPr>
            <w:rFonts w:ascii="Times New Roman" w:hAnsi="Times New Roman"/>
            <w:color w:val="006fc4"/>
            <w:sz w:val="20"/>
          </w:rPr>
          <w:t>34 C.F.R. § 104.4(b)(1)(i)</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Plaintiffs point out, this court has ruled that:</w:t>
      </w:r>
    </w:p>
    <w:p>
      <w:pPr>
        <w:spacing w:before="200" w:after="0" w:line="275" w:lineRule="atLeast"/>
        <w:ind w:left="480" w:right="480" w:firstLine="0"/>
        <w:jc w:val="both"/>
      </w:pPr>
      <w:r>
        <w:rPr>
          <w:rFonts w:ascii="Times New Roman" w:hAnsi="Times New Roman"/>
          <w:color w:val="1f1f1f"/>
          <w:sz w:val="20"/>
        </w:rPr>
        <w:t xml:space="preserve">[T]he general provisions of DOE's regulations ... support Plaintiffs' theory of discrimination. </w:t>
      </w:r>
      <w:hyperlink r:id="r231">
        <w:r>
          <w:rPr>
            <w:rFonts w:ascii="Times New Roman" w:hAnsi="Times New Roman"/>
            <w:color w:val="006fc4"/>
            <w:sz w:val="20"/>
          </w:rPr>
          <w:t>Section 104.4</w:t>
        </w:r>
      </w:hyperlink>
      <w:r>
        <w:rPr>
          <w:rFonts w:ascii="Times New Roman" w:hAnsi="Times New Roman"/>
          <w:color w:val="1f1f1f"/>
          <w:sz w:val="20"/>
        </w:rPr>
        <w:t xml:space="preserve"> prohibits federal fund recipients from denying qualified handicapped persons the opportunity to participate in or benefit from provided aids, benefits, or services; ... and [from] providing qualified handicapped persons with aids, benefits, or services that are not as effective as those that are provided to others.... In other words, these regulations are consistent with the requirement of “meaningful access,” and ... Plaintiffs have adequately pleaded a lack of meaningful access.</w:t>
      </w:r>
    </w:p>
    <w:p>
      <w:pPr>
        <w:spacing w:before="200" w:after="0" w:line="275" w:lineRule="atLeast"/>
        <w:jc w:val="both"/>
      </w:pPr>
      <w:hyperlink r:id="r232">
        <w:r>
          <w:rPr>
            <w:rFonts w:ascii="Times New Roman" w:hAnsi="Times New Roman"/>
            <w:i/>
            <w:color w:val="006fc4"/>
            <w:sz w:val="20"/>
          </w:rPr>
          <w:t>Nat'l Assoc. of the Deaf</w:t>
        </w:r>
        <w:r>
          <w:rPr>
            <w:rFonts w:ascii="Times New Roman" w:hAnsi="Times New Roman"/>
            <w:color w:val="006fc4"/>
            <w:sz w:val="20"/>
          </w:rPr>
          <w:t>, 2016 WL 3561622, at *7</w:t>
        </w:r>
      </w:hyperlink>
      <w:r>
        <w:rPr>
          <w:rFonts w:ascii="Times New Roman" w:hAnsi="Times New Roman"/>
          <w:color w:val="1f1f1f"/>
          <w:sz w:val="20"/>
        </w:rPr>
        <w:t xml:space="preserve">. For reasons explained at length, the court “decline[d] to draw any inference from the fact that </w:t>
      </w:r>
      <w:hyperlink r:id="r233">
        <w:r>
          <w:rPr>
            <w:rFonts w:ascii="Times New Roman" w:hAnsi="Times New Roman"/>
            <w:color w:val="006fc4"/>
            <w:sz w:val="20"/>
          </w:rPr>
          <w:t>§ 104.4</w:t>
        </w:r>
      </w:hyperlink>
      <w:r>
        <w:rPr>
          <w:rFonts w:ascii="Times New Roman" w:hAnsi="Times New Roman"/>
          <w:color w:val="1f1f1f"/>
          <w:sz w:val="20"/>
        </w:rPr>
        <w:t xml:space="preserve"> does not explicitly address the responsibilities of federal fund recipients vis-á-vis website accessibility.” </w:t>
      </w:r>
      <w:r>
        <w:rPr>
          <w:rFonts w:ascii="Times New Roman" w:hAnsi="Times New Roman"/>
          <w:i/>
          <w:color w:val="1f1f1f"/>
          <w:sz w:val="20"/>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Pointing to the identically phrased DOJ regulations promulgated under Title II of the ADA, Harvard contends that the “aids, benefits, and services” language in § 104.4 of the DOE's regulations implementing Section 504 covers a narrower range of functions than does the statute's broad “program or activity” language. Relying on </w:t>
      </w:r>
      <w:hyperlink r:id="r234">
        <w:r>
          <w:rPr>
            <w:rFonts w:ascii="Times New Roman" w:hAnsi="Times New Roman"/>
            <w:i/>
            <w:color w:val="006fc4"/>
            <w:sz w:val="20"/>
          </w:rPr>
          <w:t>Noel v. New York City Taxi &amp; Limousine Commission</w:t>
        </w:r>
        <w:r>
          <w:rPr>
            <w:rFonts w:ascii="Times New Roman" w:hAnsi="Times New Roman"/>
            <w:color w:val="006fc4"/>
            <w:sz w:val="20"/>
          </w:rPr>
          <w:t>, 687 F.3d 63 (2d Cir. 2012)</w:t>
        </w:r>
      </w:hyperlink>
      <w:r>
        <w:rPr>
          <w:rFonts w:ascii="Times New Roman" w:hAnsi="Times New Roman"/>
          <w:color w:val="1f1f1f"/>
          <w:sz w:val="20"/>
        </w:rPr>
        <w:t xml:space="preserve">, and </w:t>
      </w:r>
      <w:hyperlink r:id="r235">
        <w:r>
          <w:rPr>
            <w:rFonts w:ascii="Times New Roman" w:hAnsi="Times New Roman"/>
            <w:i/>
            <w:color w:val="006fc4"/>
            <w:sz w:val="20"/>
          </w:rPr>
          <w:t>Ivy v. Williams</w:t>
        </w:r>
        <w:r>
          <w:rPr>
            <w:rFonts w:ascii="Times New Roman" w:hAnsi="Times New Roman"/>
            <w:color w:val="006fc4"/>
            <w:sz w:val="20"/>
          </w:rPr>
          <w:t>, 781 F.3d 250 (5th Cir. 2015)</w:t>
        </w:r>
      </w:hyperlink>
      <w:r>
        <w:rPr>
          <w:rFonts w:ascii="Times New Roman" w:hAnsi="Times New Roman"/>
          <w:color w:val="1f1f1f"/>
          <w:sz w:val="20"/>
        </w:rPr>
        <w:t xml:space="preserve">, </w:t>
      </w:r>
      <w:r>
        <w:rPr>
          <w:rFonts w:ascii="Times New Roman" w:hAnsi="Times New Roman"/>
          <w:i/>
          <w:color w:val="1f1f1f"/>
          <w:sz w:val="20"/>
        </w:rPr>
        <w:t>vacated as moot sub nom.</w:t>
      </w:r>
      <w:r>
        <w:rPr>
          <w:rFonts w:ascii="Times New Roman" w:hAnsi="Times New Roman"/>
          <w:color w:val="1f1f1f"/>
          <w:sz w:val="20"/>
        </w:rPr>
        <w:t xml:space="preserve"> </w:t>
      </w:r>
      <w:hyperlink r:id="r236">
        <w:r>
          <w:rPr>
            <w:rFonts w:ascii="Times New Roman" w:hAnsi="Times New Roman"/>
            <w:i/>
            <w:color w:val="006fc4"/>
            <w:sz w:val="20"/>
          </w:rPr>
          <w:t>Ivy v. Morath</w:t>
        </w:r>
        <w:r>
          <w:rPr>
            <w:rFonts w:ascii="Times New Roman" w:hAnsi="Times New Roman"/>
            <w:color w:val="006fc4"/>
            <w:sz w:val="20"/>
          </w:rPr>
          <w:t>, ––– U.S. ––––, 137 S. Ct. 414, 196 L.Ed.2d 284 (2016)</w:t>
        </w:r>
      </w:hyperlink>
      <w:r>
        <w:rPr>
          <w:rFonts w:ascii="Times New Roman" w:hAnsi="Times New Roman"/>
          <w:color w:val="1f1f1f"/>
          <w:sz w:val="20"/>
        </w:rPr>
        <w:t>, Harvard argues that it merely furnishes websites or platforms on which third parties post content that Harvard does not provide or control and that this content is not an aid, benefit, or service of Harvard (Dkt. No. 141 at 14).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w:t>
      </w:r>
      <w:r>
        <w:rPr>
          <w:rFonts w:ascii="Times New Roman" w:hAnsi="Times New Roman"/>
          <w:i/>
          <w:color w:val="1f1f1f"/>
          <w:sz w:val="20"/>
        </w:rPr>
        <w:t>Noel</w:t>
      </w:r>
      <w:r>
        <w:rPr>
          <w:rFonts w:ascii="Times New Roman" w:hAnsi="Times New Roman"/>
          <w:color w:val="1f1f1f"/>
          <w:sz w:val="20"/>
        </w:rPr>
        <w:t xml:space="preserve">, the plaintiffs sued the New York City administrative agency that was responsible for licensing and regulating taxis on the grounds that most taxicabs were inaccessible for the wheelchair-bound. The Second Circuit concluded that while Title II of the ADA, which addresses discrimination by public entities, prohibited the defendants from “refusing to grant licenses to persons with disabilities who are otherwise qualified,” it did “not assist persons who are consumers of the licensees' product.” </w:t>
      </w:r>
      <w:hyperlink r:id="r237">
        <w:r>
          <w:rPr>
            <w:rFonts w:ascii="Times New Roman" w:hAnsi="Times New Roman"/>
            <w:i/>
            <w:color w:val="006fc4"/>
            <w:sz w:val="20"/>
          </w:rPr>
          <w:t>Noel</w:t>
        </w:r>
        <w:r>
          <w:rPr>
            <w:rFonts w:ascii="Times New Roman" w:hAnsi="Times New Roman"/>
            <w:color w:val="006fc4"/>
            <w:sz w:val="20"/>
          </w:rPr>
          <w:t>, 687 F.3d at 69</w:t>
        </w:r>
      </w:hyperlink>
      <w:r>
        <w:rPr>
          <w:rFonts w:ascii="Times New Roman" w:hAnsi="Times New Roman"/>
          <w:color w:val="1f1f1f"/>
          <w:sz w:val="20"/>
        </w:rPr>
        <w:t xml:space="preserve">. Similarly, in </w:t>
      </w:r>
      <w:r>
        <w:rPr>
          <w:rFonts w:ascii="Times New Roman" w:hAnsi="Times New Roman"/>
          <w:i/>
          <w:color w:val="1f1f1f"/>
          <w:sz w:val="20"/>
        </w:rPr>
        <w:t>Ivy</w:t>
      </w:r>
      <w:r>
        <w:rPr>
          <w:rFonts w:ascii="Times New Roman" w:hAnsi="Times New Roman"/>
          <w:color w:val="1f1f1f"/>
          <w:sz w:val="20"/>
        </w:rPr>
        <w:t xml:space="preserve">, the Fifth Circuit held that because driver education was not a service of the state entity responsible for licensing private driver education schools, the licensing entity could not be held liable for discriminatory conduct by the driver education schools. </w:t>
      </w:r>
      <w:hyperlink r:id="r238">
        <w:r>
          <w:rPr>
            <w:rFonts w:ascii="Times New Roman" w:hAnsi="Times New Roman"/>
            <w:i/>
            <w:color w:val="006fc4"/>
            <w:sz w:val="20"/>
          </w:rPr>
          <w:t>Ivy</w:t>
        </w:r>
        <w:r>
          <w:rPr>
            <w:rFonts w:ascii="Times New Roman" w:hAnsi="Times New Roman"/>
            <w:color w:val="006fc4"/>
            <w:sz w:val="20"/>
          </w:rPr>
          <w:t>, 781 F.3d at 256</w:t>
        </w:r>
      </w:hyperlink>
      <w:r>
        <w:rPr>
          <w:rFonts w:ascii="Times New Roman" w:hAnsi="Times New Roman"/>
          <w:color w:val="1f1f1f"/>
          <w:sz w:val="20"/>
        </w:rPr>
        <w:t xml:space="preserve">. The courts in </w:t>
      </w:r>
      <w:r>
        <w:rPr>
          <w:rFonts w:ascii="Times New Roman" w:hAnsi="Times New Roman"/>
          <w:i/>
          <w:color w:val="1f1f1f"/>
          <w:sz w:val="20"/>
        </w:rPr>
        <w:t>Noel</w:t>
      </w:r>
      <w:r>
        <w:rPr>
          <w:rFonts w:ascii="Times New Roman" w:hAnsi="Times New Roman"/>
          <w:color w:val="1f1f1f"/>
          <w:sz w:val="20"/>
        </w:rPr>
        <w:t xml:space="preserve"> and </w:t>
      </w:r>
      <w:r>
        <w:rPr>
          <w:rFonts w:ascii="Times New Roman" w:hAnsi="Times New Roman"/>
          <w:i/>
          <w:color w:val="1f1f1f"/>
          <w:sz w:val="20"/>
        </w:rPr>
        <w:t>Ivy</w:t>
      </w:r>
      <w:r>
        <w:rPr>
          <w:rFonts w:ascii="Times New Roman" w:hAnsi="Times New Roman"/>
          <w:color w:val="1f1f1f"/>
          <w:sz w:val="20"/>
        </w:rPr>
        <w:t xml:space="preserve"> relied in significant part on the DOJ's Title II Technical Assistance Manual (“TAM”), which provides that “[t]he State is not accountable for discrimination in the employment or other practices of XYZ company [an entity which the State licenses], if those practices are not the result of requirements or policies established by the State.” TAM, § II-3.7200, available at </w:t>
      </w:r>
      <w:r>
        <w:rPr>
          <w:rFonts w:ascii="Times New Roman" w:hAnsi="Times New Roman"/>
          <w:color w:val="1f1f1f"/>
          <w:sz w:val="20"/>
          <w:u w:val="single" w:color="1f1f1f"/>
        </w:rPr>
        <w:t>https://www.ada.gov/taman2.html#II-3.7200</w:t>
      </w:r>
      <w:r>
        <w:rPr>
          <w:rFonts w:ascii="Times New Roman" w:hAnsi="Times New Roman"/>
          <w:color w:val="1f1f1f"/>
          <w:sz w:val="20"/>
        </w:rPr>
        <w:t xml:space="preserve"> (last visited Mar. 20, 2019). </w:t>
      </w:r>
      <w:r>
        <w:rPr>
          <w:rFonts w:ascii="Times New Roman" w:hAnsi="Times New Roman"/>
          <w:i/>
          <w:color w:val="1f1f1f"/>
          <w:sz w:val="20"/>
        </w:rPr>
        <w:t>See</w:t>
      </w:r>
      <w:r>
        <w:rPr>
          <w:rFonts w:ascii="Times New Roman" w:hAnsi="Times New Roman"/>
          <w:color w:val="1f1f1f"/>
          <w:sz w:val="20"/>
        </w:rPr>
        <w:t xml:space="preserve"> </w:t>
      </w:r>
      <w:hyperlink r:id="r239">
        <w:r>
          <w:rPr>
            <w:rFonts w:ascii="Times New Roman" w:hAnsi="Times New Roman"/>
            <w:i/>
            <w:color w:val="006fc4"/>
            <w:sz w:val="20"/>
          </w:rPr>
          <w:t>Ivy</w:t>
        </w:r>
        <w:r>
          <w:rPr>
            <w:rFonts w:ascii="Times New Roman" w:hAnsi="Times New Roman"/>
            <w:color w:val="006fc4"/>
            <w:sz w:val="20"/>
          </w:rPr>
          <w:t>, 781 F.3d at 256</w:t>
        </w:r>
      </w:hyperlink>
      <w:r>
        <w:rPr>
          <w:rFonts w:ascii="Times New Roman" w:hAnsi="Times New Roman"/>
          <w:color w:val="1f1f1f"/>
          <w:sz w:val="20"/>
        </w:rPr>
        <w:t xml:space="preserve">; </w:t>
      </w:r>
      <w:hyperlink r:id="r240">
        <w:r>
          <w:rPr>
            <w:rFonts w:ascii="Times New Roman" w:hAnsi="Times New Roman"/>
            <w:i/>
            <w:color w:val="006fc4"/>
            <w:sz w:val="20"/>
          </w:rPr>
          <w:t>Noel</w:t>
        </w:r>
        <w:r>
          <w:rPr>
            <w:rFonts w:ascii="Times New Roman" w:hAnsi="Times New Roman"/>
            <w:color w:val="006fc4"/>
            <w:sz w:val="20"/>
          </w:rPr>
          <w:t>, 687 F.3d at 69-70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12047886627_1">
        <w:r>
          <w:rPr>
            <w:rFonts w:ascii="Times New Roman" w:hAnsi="Times New Roman"/>
            <w:b/>
            <w:color w:val="252525"/>
            <w:sz w:val="20"/>
            <w:bdr w:val="none" w:space="2"/>
            <w:vertAlign w:val="superscript"/>
          </w:rPr>
          <w:t>[11]</w:t>
        </w:r>
      </w:hyperlink>
      <w:r>
        <w:rPr>
          <w:rFonts w:ascii="Times New Roman" w:hAnsi="Times New Roman"/>
          <w:color w:val="1f1f1f"/>
          <w:sz w:val="20"/>
        </w:rPr>
        <w:t xml:space="preserve">Harvard's reliance on these cases is not persuasive. Plaintiffs have not alleged that Harvard functions as a regulator of its websites and platforms. Plaintiffs allege that some unquantified amount of the inaccessible content on Harvard's websites and platforms is created or produced </w:t>
      </w:r>
      <w:bookmarkStart w:id="195" w:name="co_pp_sp_7903_63_1"/>
      <w:r>
        <w:rPr>
          <w:rFonts w:ascii="Times New Roman" w:hAnsi="Times New Roman"/>
          <w:b/>
          <w:color w:val="000000"/>
          <w:sz w:val="20"/>
        </w:rPr>
        <w:t>*63</w:t>
      </w:r>
      <w:bookmarkEnd w:id="195"/>
      <w:r>
        <w:rPr>
          <w:rFonts w:ascii="Times New Roman" w:hAnsi="Times New Roman"/>
          <w:color w:val="1f1f1f"/>
          <w:sz w:val="20"/>
        </w:rPr>
        <w:t xml:space="preserve"> directly by Harvard, not by a third party (Compl. at p. 10, ¶¶ 9-10). And, in the absence of a factual record, the role Harvard plays in connection with content that Harvard itself may not create or produce is a matter of conjecture. Moreover, Plaintiffs allege, as to all of Harvard's online content, that Harvard “uses administrative methods, practices, procedures and policies” that result in a lack of captioning or inaccurate captioning (Compl. at p. 11, ¶¶ 33-39). The DOJ, in TAM, as well as the courts in the </w:t>
      </w:r>
      <w:r>
        <w:rPr>
          <w:rFonts w:ascii="Times New Roman" w:hAnsi="Times New Roman"/>
          <w:i/>
          <w:color w:val="1f1f1f"/>
          <w:sz w:val="20"/>
        </w:rPr>
        <w:t>Noel</w:t>
      </w:r>
      <w:r>
        <w:rPr>
          <w:rFonts w:ascii="Times New Roman" w:hAnsi="Times New Roman"/>
          <w:color w:val="1f1f1f"/>
          <w:sz w:val="20"/>
        </w:rPr>
        <w:t xml:space="preserve"> and </w:t>
      </w:r>
      <w:r>
        <w:rPr>
          <w:rFonts w:ascii="Times New Roman" w:hAnsi="Times New Roman"/>
          <w:i/>
          <w:color w:val="1f1f1f"/>
          <w:sz w:val="20"/>
        </w:rPr>
        <w:t>Ivy</w:t>
      </w:r>
      <w:r>
        <w:rPr>
          <w:rFonts w:ascii="Times New Roman" w:hAnsi="Times New Roman"/>
          <w:color w:val="1f1f1f"/>
          <w:sz w:val="20"/>
        </w:rPr>
        <w:t xml:space="preserve"> cases, recognize that public entities may not establish requirements or policies governing the activities of the private actors they regulate that would result in discrimination against individuals with disabilities. TAM, § II-3.7200; </w:t>
      </w:r>
      <w:hyperlink r:id="r241">
        <w:r>
          <w:rPr>
            <w:rFonts w:ascii="Times New Roman" w:hAnsi="Times New Roman"/>
            <w:i/>
            <w:color w:val="006fc4"/>
            <w:sz w:val="20"/>
          </w:rPr>
          <w:t>Ivy</w:t>
        </w:r>
        <w:r>
          <w:rPr>
            <w:rFonts w:ascii="Times New Roman" w:hAnsi="Times New Roman"/>
            <w:color w:val="006fc4"/>
            <w:sz w:val="20"/>
          </w:rPr>
          <w:t>, 781 F.3d at 256</w:t>
        </w:r>
      </w:hyperlink>
      <w:r>
        <w:rPr>
          <w:rFonts w:ascii="Times New Roman" w:hAnsi="Times New Roman"/>
          <w:color w:val="1f1f1f"/>
          <w:sz w:val="20"/>
        </w:rPr>
        <w:t xml:space="preserve"> (stating that “a public entity cannot ‘discriminate directly or through contractual, licensing, or other arrangements’ ”) (quoting </w:t>
      </w:r>
      <w:hyperlink r:id="r242">
        <w:r>
          <w:rPr>
            <w:rFonts w:ascii="Times New Roman" w:hAnsi="Times New Roman"/>
            <w:color w:val="006fc4"/>
            <w:sz w:val="20"/>
          </w:rPr>
          <w:t>28 C.F.R. § 35.130(b)(1)</w:t>
        </w:r>
      </w:hyperlink>
      <w:r>
        <w:rPr>
          <w:rFonts w:ascii="Times New Roman" w:hAnsi="Times New Roman"/>
          <w:color w:val="1f1f1f"/>
          <w:sz w:val="20"/>
        </w:rPr>
        <w:t xml:space="preserve">); </w:t>
      </w:r>
      <w:hyperlink r:id="r243">
        <w:r>
          <w:rPr>
            <w:rFonts w:ascii="Times New Roman" w:hAnsi="Times New Roman"/>
            <w:i/>
            <w:color w:val="006fc4"/>
            <w:sz w:val="20"/>
          </w:rPr>
          <w:t>Noel</w:t>
        </w:r>
        <w:r>
          <w:rPr>
            <w:rFonts w:ascii="Times New Roman" w:hAnsi="Times New Roman"/>
            <w:color w:val="006fc4"/>
            <w:sz w:val="20"/>
          </w:rPr>
          <w:t>, 687 F.3d at 70</w:t>
        </w:r>
      </w:hyperlink>
      <w:r>
        <w:rPr>
          <w:rFonts w:ascii="Times New Roman" w:hAnsi="Times New Roman"/>
          <w:color w:val="1f1f1f"/>
          <w:sz w:val="20"/>
        </w:rPr>
        <w:t xml:space="preserve"> (stating that TAM provides that licensing standards are covered by Title II although the licensee's activities themselves are not covered). Plaintiffs allege, albeit on information and belief, that Harvard has done so.</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Moreover, the regulations DOE has promulgated under Section 504 do not express the limits on responsibility that Harvard claims exist. The DOJ Title II ADA regulations that set forth the general prohibition against discrimination include the limitation that a public entity may not discriminate against a qualified handicapped individual in the administration of a licensing or certification program but “[t]he programs or activities of entities that are licensed or certified by a public entity are not, themselves, covered by this part.” </w:t>
      </w:r>
      <w:hyperlink r:id="r244">
        <w:r>
          <w:rPr>
            <w:rFonts w:ascii="Times New Roman" w:hAnsi="Times New Roman"/>
            <w:color w:val="006fc4"/>
            <w:sz w:val="20"/>
          </w:rPr>
          <w:t>28 C.F.R. § 35.130(b)(6)</w:t>
        </w:r>
      </w:hyperlink>
      <w:r>
        <w:rPr>
          <w:rFonts w:ascii="Times New Roman" w:hAnsi="Times New Roman"/>
          <w:color w:val="1f1f1f"/>
          <w:sz w:val="20"/>
        </w:rPr>
        <w:t xml:space="preserve">. DOE Section 504 regulations lack a parallel provision. Instead, the general prohibition against discrimination provides without limitation that a federal aid recipient may not discriminate in providing any aid, benefit or service to a disabled individual “directly or through contractual, licensing, or other arrangements.” </w:t>
      </w:r>
      <w:hyperlink r:id="r245">
        <w:r>
          <w:rPr>
            <w:rFonts w:ascii="Times New Roman" w:hAnsi="Times New Roman"/>
            <w:color w:val="006fc4"/>
            <w:sz w:val="20"/>
          </w:rPr>
          <w:t>34 C.F.R. § 104.4(b)(1)(i)-(vii)</w:t>
        </w:r>
      </w:hyperlink>
      <w:r>
        <w:rPr>
          <w:rFonts w:ascii="Times New Roman" w:hAnsi="Times New Roman"/>
          <w:color w:val="1f1f1f"/>
          <w:sz w:val="20"/>
        </w:rPr>
        <w:t xml:space="preserve">. In the absence of any persuasive support for limiting the general prohibition against discrimination in the provision of aids, services, and benefits to the disabled under Section 504, Harvard's contentions in its motion for judgment on the pleadings fail. For the reasons previously stated, </w:t>
      </w:r>
      <w:r>
        <w:rPr>
          <w:rFonts w:ascii="Times New Roman" w:hAnsi="Times New Roman"/>
          <w:i/>
          <w:color w:val="1f1f1f"/>
          <w:sz w:val="20"/>
        </w:rPr>
        <w:t>see</w:t>
      </w:r>
      <w:r>
        <w:rPr>
          <w:rFonts w:ascii="Times New Roman" w:hAnsi="Times New Roman"/>
          <w:color w:val="1f1f1f"/>
          <w:sz w:val="20"/>
        </w:rPr>
        <w:t xml:space="preserve"> </w:t>
      </w:r>
      <w:hyperlink r:id="r246">
        <w:r>
          <w:rPr>
            <w:rFonts w:ascii="Times New Roman" w:hAnsi="Times New Roman"/>
            <w:i/>
            <w:color w:val="006fc4"/>
            <w:sz w:val="20"/>
          </w:rPr>
          <w:t>Nat'l Assoc. of the Deaf</w:t>
        </w:r>
        <w:r>
          <w:rPr>
            <w:rFonts w:ascii="Times New Roman" w:hAnsi="Times New Roman"/>
            <w:color w:val="006fc4"/>
            <w:sz w:val="20"/>
          </w:rPr>
          <w:t>, 2016 WL 3561622, at *5-10</w:t>
        </w:r>
      </w:hyperlink>
      <w:r>
        <w:rPr>
          <w:rFonts w:ascii="Times New Roman" w:hAnsi="Times New Roman"/>
          <w:color w:val="1f1f1f"/>
          <w:sz w:val="20"/>
        </w:rPr>
        <w:t>, and those stated herein, Plaintiffs have sufficiently alleged their claim under Section 504.</w:t>
      </w:r>
    </w:p>
    <w:p>
      <w:pPr>
        <w:spacing w:before="0" w:after="0" w:line="275" w:lineRule="atLeast"/>
        <w:jc w:val="both"/>
      </w:pPr>
      <w:r>
        <w:rPr>
          <w:rFonts w:ascii="Times New Roman" w:hAnsi="Times New Roman"/>
          <w:color w:val="1f1f1f"/>
          <w:sz w:val="20"/>
        </w:rPr>
        <w:t> </w:t>
      </w:r>
    </w:p>
    <w:bookmarkStart w:id="196" w:name="co_anchor_I8dbd7ef12db911ee894ea066ce69"/>
    <w:p>
      <w:pPr>
        <w:spacing w:before="400" w:after="0" w:line="275" w:lineRule="atLeast"/>
        <w:jc w:val="center"/>
      </w:pPr>
      <w:r>
        <w:rPr>
          <w:rFonts w:ascii="Times New Roman" w:hAnsi="Times New Roman"/>
          <w:color w:val="1f1f1f"/>
          <w:sz w:val="20"/>
        </w:rPr>
        <w:t xml:space="preserve">3. </w:t>
      </w:r>
      <w:r>
        <w:rPr>
          <w:rFonts w:ascii="Times New Roman" w:hAnsi="Times New Roman"/>
          <w:color w:val="1f1f1f"/>
          <w:sz w:val="20"/>
          <w:u w:val="single" w:color="1f1f1f"/>
        </w:rPr>
        <w:t>Third-Party Websites</w:t>
      </w:r>
    </w:p>
    <w:bookmarkEnd w:id="196"/>
    <w:p>
      <w:pPr>
        <w:spacing w:before="200" w:after="0" w:line="275" w:lineRule="atLeast"/>
        <w:jc w:val="both"/>
      </w:pPr>
      <w:hyperlink w:anchor="co_hn_anchor_F122047886627_1">
        <w:r>
          <w:rPr>
            <w:rFonts w:ascii="Times New Roman" w:hAnsi="Times New Roman"/>
            <w:b/>
            <w:color w:val="252525"/>
            <w:sz w:val="20"/>
            <w:bdr w:val="none" w:space="2"/>
            <w:vertAlign w:val="superscript"/>
          </w:rPr>
          <w:t>[12]</w:t>
        </w:r>
      </w:hyperlink>
      <w:r>
        <w:rPr>
          <w:rFonts w:ascii="Times New Roman" w:hAnsi="Times New Roman"/>
          <w:color w:val="1f1f1f"/>
          <w:sz w:val="20"/>
        </w:rPr>
        <w:t xml:space="preserve">The complaint extends beyond Harvard's own websites and platforms to websites hosted by third parties, including Harvard on YouTube, Harvard on iTunes U; and Harvard on SoundCloud (Compl. at p. 9, ¶ 29(a)-(c)). Harvard asserts that even if Harvard's websites qualify as places of public accommodation under Title III (which it does not concede), it cannot be responsible under Title III or Section 504 for content posted on these third-party websites (Dkt. No. 141 at 20-21). Implementing regulations applicable to Title III and Section 504 prohibit disability discrimination by a public accommodation or a federal fund recipient “directly or through contractual, licensing, or other arrangements.” </w:t>
      </w:r>
      <w:hyperlink r:id="r247">
        <w:r>
          <w:rPr>
            <w:rFonts w:ascii="Times New Roman" w:hAnsi="Times New Roman"/>
            <w:color w:val="006fc4"/>
            <w:sz w:val="20"/>
          </w:rPr>
          <w:t>28 C.F.R. § 36.202(b)</w:t>
        </w:r>
      </w:hyperlink>
      <w:r>
        <w:rPr>
          <w:rFonts w:ascii="Times New Roman" w:hAnsi="Times New Roman"/>
          <w:color w:val="1f1f1f"/>
          <w:sz w:val="20"/>
        </w:rPr>
        <w:t xml:space="preserve">; </w:t>
      </w:r>
      <w:hyperlink r:id="r248">
        <w:r>
          <w:rPr>
            <w:rFonts w:ascii="Times New Roman" w:hAnsi="Times New Roman"/>
            <w:color w:val="006fc4"/>
            <w:sz w:val="20"/>
          </w:rPr>
          <w:t>34 C.F.R. § 104.4(b)(1)</w:t>
        </w:r>
      </w:hyperlink>
      <w:r>
        <w:rPr>
          <w:rFonts w:ascii="Times New Roman" w:hAnsi="Times New Roman"/>
          <w:color w:val="1f1f1f"/>
          <w:sz w:val="20"/>
        </w:rPr>
        <w:t xml:space="preserve">. Forbidden discrimination extends to denial of participation in “any program or activity” of an entity that receives federal assistance, </w:t>
      </w:r>
      <w:hyperlink r:id="r249">
        <w:r>
          <w:rPr>
            <w:rFonts w:ascii="Times New Roman" w:hAnsi="Times New Roman"/>
            <w:color w:val="006fc4"/>
            <w:sz w:val="20"/>
          </w:rPr>
          <w:t>34 C.F.R. § 104.4(a)</w:t>
        </w:r>
      </w:hyperlink>
      <w:r>
        <w:rPr>
          <w:rFonts w:ascii="Times New Roman" w:hAnsi="Times New Roman"/>
          <w:color w:val="1f1f1f"/>
          <w:sz w:val="20"/>
        </w:rPr>
        <w:t xml:space="preserve">, or the “goods, services, facilities, privileges, advantages, or accommodations” of a place of public accommodation. </w:t>
      </w:r>
      <w:hyperlink r:id="r250">
        <w:r>
          <w:rPr>
            <w:rFonts w:ascii="Times New Roman" w:hAnsi="Times New Roman"/>
            <w:color w:val="006fc4"/>
            <w:sz w:val="20"/>
          </w:rPr>
          <w:t>28 C.F.R. § 36.202(a)</w:t>
        </w:r>
      </w:hyperlink>
      <w:r>
        <w:rPr>
          <w:rFonts w:ascii="Times New Roman" w:hAnsi="Times New Roman"/>
          <w:color w:val="1f1f1f"/>
          <w:sz w:val="20"/>
        </w:rPr>
        <w:t xml:space="preserve">. The complaint alleges violations of Title III and Section 504 by Harvard as to content on these third-party websites. It may be that Harvard does not arrange for inaccessible content </w:t>
      </w:r>
      <w:bookmarkStart w:id="197" w:name="co_pp_sp_7903_64_1"/>
      <w:r>
        <w:rPr>
          <w:rFonts w:ascii="Times New Roman" w:hAnsi="Times New Roman"/>
          <w:b/>
          <w:color w:val="000000"/>
          <w:sz w:val="20"/>
        </w:rPr>
        <w:t>*64</w:t>
      </w:r>
      <w:bookmarkEnd w:id="197"/>
      <w:r>
        <w:rPr>
          <w:rFonts w:ascii="Times New Roman" w:hAnsi="Times New Roman"/>
          <w:color w:val="1f1f1f"/>
          <w:sz w:val="20"/>
        </w:rPr>
        <w:t xml:space="preserve"> to appear on these platforms, or that Harvard lacks control over how content is displayed on third-party websites, or that captioning would not provide meaningful access to content on third-party websites for deaf and hard of hearing individuals, or that requiring captioning would fundamentally alter the nature of the service or result in an undue burden. Those are questions raised by Harvard's affirmative defenses. The court cannot make such determinations in the absence of a more developed factual record. </w:t>
      </w:r>
      <w:r>
        <w:rPr>
          <w:rFonts w:ascii="Times New Roman" w:hAnsi="Times New Roman"/>
          <w:i/>
          <w:color w:val="1f1f1f"/>
          <w:sz w:val="20"/>
        </w:rPr>
        <w:t>See</w:t>
      </w:r>
      <w:r>
        <w:rPr>
          <w:rFonts w:ascii="Times New Roman" w:hAnsi="Times New Roman"/>
          <w:color w:val="1f1f1f"/>
          <w:sz w:val="20"/>
        </w:rPr>
        <w:t xml:space="preserve"> </w:t>
      </w:r>
      <w:hyperlink r:id="r251">
        <w:r>
          <w:rPr>
            <w:rFonts w:ascii="Times New Roman" w:hAnsi="Times New Roman"/>
            <w:i/>
            <w:color w:val="006fc4"/>
            <w:sz w:val="20"/>
          </w:rPr>
          <w:t>Nat'l Assoc. of the Deaf</w:t>
        </w:r>
        <w:r>
          <w:rPr>
            <w:rFonts w:ascii="Times New Roman" w:hAnsi="Times New Roman"/>
            <w:color w:val="006fc4"/>
            <w:sz w:val="20"/>
          </w:rPr>
          <w:t>, 2016 WL 3561622, at *12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98" w:name="co_anchor_I8dbf7ac12db911ee894ea066ce69"/>
    <w:p>
      <w:pPr>
        <w:spacing w:before="400" w:after="0" w:line="275" w:lineRule="atLeast"/>
        <w:jc w:val="center"/>
      </w:pPr>
      <w:r>
        <w:rPr>
          <w:rFonts w:ascii="Times New Roman" w:hAnsi="Times New Roman"/>
          <w:color w:val="1f1f1f"/>
          <w:sz w:val="20"/>
        </w:rPr>
        <w:t xml:space="preserve">C. </w:t>
      </w:r>
      <w:r>
        <w:rPr>
          <w:rFonts w:ascii="Times New Roman" w:hAnsi="Times New Roman"/>
          <w:color w:val="1f1f1f"/>
          <w:sz w:val="20"/>
          <w:u w:val="single" w:color="1f1f1f"/>
        </w:rPr>
        <w:t>Communications Decency Act Immunity</w:t>
      </w:r>
    </w:p>
    <w:bookmarkEnd w:id="198"/>
    <w:p>
      <w:pPr>
        <w:spacing w:before="200" w:after="0" w:line="275" w:lineRule="atLeast"/>
        <w:jc w:val="both"/>
      </w:pPr>
      <w:r>
        <w:rPr>
          <w:rFonts w:ascii="Times New Roman" w:hAnsi="Times New Roman"/>
          <w:color w:val="1f1f1f"/>
          <w:sz w:val="20"/>
        </w:rPr>
        <w:t xml:space="preserve">Finally, Harvard argues that it is entitled by the Communications Decency Act of 1996, </w:t>
      </w:r>
      <w:hyperlink r:id="r252">
        <w:r>
          <w:rPr>
            <w:rFonts w:ascii="Times New Roman" w:hAnsi="Times New Roman"/>
            <w:color w:val="006fc4"/>
            <w:sz w:val="20"/>
          </w:rPr>
          <w:t>47 U.S.C. § 230</w:t>
        </w:r>
      </w:hyperlink>
      <w:r>
        <w:rPr>
          <w:rFonts w:ascii="Times New Roman" w:hAnsi="Times New Roman"/>
          <w:color w:val="1f1f1f"/>
          <w:sz w:val="20"/>
        </w:rPr>
        <w:t xml:space="preserve"> (“</w:t>
      </w:r>
      <w:hyperlink r:id="r253">
        <w:r>
          <w:rPr>
            <w:rFonts w:ascii="Times New Roman" w:hAnsi="Times New Roman"/>
            <w:color w:val="006fc4"/>
            <w:sz w:val="20"/>
          </w:rPr>
          <w:t>Section 230</w:t>
        </w:r>
      </w:hyperlink>
      <w:r>
        <w:rPr>
          <w:rFonts w:ascii="Times New Roman" w:hAnsi="Times New Roman"/>
          <w:color w:val="1f1f1f"/>
          <w:sz w:val="20"/>
        </w:rPr>
        <w:t>” or “CDA”), to immunity as to so much of Plaintiffs' complaint as seeks an accommodation with respect to content created by third parties that is posted on Harvard's websites and platforms or embedded in content posted on Harvard's websites and platforms but hosted elsewhere on the Internet.</w:t>
      </w:r>
    </w:p>
    <w:p>
      <w:pPr>
        <w:spacing w:before="0" w:after="0" w:line="275" w:lineRule="atLeast"/>
        <w:jc w:val="both"/>
      </w:pPr>
      <w:r>
        <w:rPr>
          <w:rFonts w:ascii="Times New Roman" w:hAnsi="Times New Roman"/>
          <w:color w:val="1f1f1f"/>
          <w:sz w:val="20"/>
        </w:rPr>
        <w:t> </w:t>
      </w:r>
    </w:p>
    <w:bookmarkStart w:id="199" w:name="co_anchor_I8dbfeff12db911ee894ea066ce69"/>
    <w:p>
      <w:pPr>
        <w:spacing w:before="400" w:after="0" w:line="275" w:lineRule="atLeast"/>
        <w:jc w:val="center"/>
      </w:pPr>
      <w:r>
        <w:rPr>
          <w:rFonts w:ascii="Times New Roman" w:hAnsi="Times New Roman"/>
          <w:color w:val="1f1f1f"/>
          <w:sz w:val="20"/>
        </w:rPr>
        <w:t xml:space="preserve">1. </w:t>
      </w:r>
      <w:r>
        <w:rPr>
          <w:rFonts w:ascii="Times New Roman" w:hAnsi="Times New Roman"/>
          <w:color w:val="1f1f1f"/>
          <w:sz w:val="20"/>
          <w:u w:val="single" w:color="1f1f1f"/>
        </w:rPr>
        <w:t>The Legal Framework</w:t>
      </w:r>
    </w:p>
    <w:bookmarkEnd w:id="199"/>
    <w:p>
      <w:pPr>
        <w:spacing w:before="200" w:after="0" w:line="275" w:lineRule="atLeast"/>
        <w:jc w:val="both"/>
      </w:pPr>
      <w:hyperlink r:id="r254">
        <w:r>
          <w:rPr>
            <w:rFonts w:ascii="Times New Roman" w:hAnsi="Times New Roman"/>
            <w:color w:val="006fc4"/>
            <w:sz w:val="20"/>
          </w:rPr>
          <w:t>Section 230</w:t>
        </w:r>
      </w:hyperlink>
      <w:r>
        <w:rPr>
          <w:rFonts w:ascii="Times New Roman" w:hAnsi="Times New Roman"/>
          <w:color w:val="1f1f1f"/>
          <w:sz w:val="20"/>
        </w:rPr>
        <w:t xml:space="preserve"> provides, in pertinent part:</w:t>
      </w:r>
    </w:p>
    <w:p>
      <w:pPr>
        <w:spacing w:before="200" w:after="0" w:line="275" w:lineRule="atLeast"/>
        <w:ind w:left="200" w:right="0" w:firstLine="0"/>
        <w:jc w:val="both"/>
      </w:pPr>
      <w:r>
        <w:rPr>
          <w:rFonts w:ascii="Times New Roman" w:hAnsi="Times New Roman"/>
          <w:color w:val="1f1f1f"/>
          <w:sz w:val="20"/>
        </w:rPr>
        <w:t>(c) Protection for ‘Good Samaritan’ blocking and screening of offensive material</w:t>
      </w:r>
    </w:p>
    <w:p>
      <w:pPr>
        <w:spacing w:before="200" w:after="0" w:line="275" w:lineRule="atLeast"/>
        <w:ind w:left="400" w:right="0" w:firstLine="0"/>
        <w:jc w:val="both"/>
      </w:pPr>
      <w:r>
        <w:rPr>
          <w:rFonts w:ascii="Times New Roman" w:hAnsi="Times New Roman"/>
          <w:color w:val="1f1f1f"/>
          <w:sz w:val="20"/>
        </w:rPr>
        <w:t>(1) Treatment of publisher or speaker No provider or user of an interactive computer service shall be treated as the publisher or speaker of any information provided by another information content provider.</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32047886627_1">
        <w:r>
          <w:rPr>
            <w:rFonts w:ascii="Times New Roman" w:hAnsi="Times New Roman"/>
            <w:b/>
            <w:color w:val="252525"/>
            <w:sz w:val="20"/>
            <w:bdr w:val="none" w:space="2"/>
            <w:vertAlign w:val="superscript"/>
          </w:rPr>
          <w:t>[13]</w:t>
        </w:r>
      </w:hyperlink>
      <w:r>
        <w:rPr>
          <w:rFonts w:ascii="Times New Roman" w:hAnsi="Times New Roman"/>
          <w:color w:val="1f1f1f"/>
          <w:sz w:val="20"/>
        </w:rPr>
        <w:t xml:space="preserve"> </w:t>
      </w:r>
      <w:hyperlink w:anchor="co_hn_anchor_F142047886627_1">
        <w:r>
          <w:rPr>
            <w:rFonts w:ascii="Times New Roman" w:hAnsi="Times New Roman"/>
            <w:b/>
            <w:color w:val="252525"/>
            <w:sz w:val="20"/>
            <w:bdr w:val="none" w:space="2"/>
            <w:vertAlign w:val="superscript"/>
          </w:rPr>
          <w:t>[14]</w:t>
        </w:r>
      </w:hyperlink>
      <w:r>
        <w:rPr>
          <w:rFonts w:ascii="Times New Roman" w:hAnsi="Times New Roman"/>
          <w:color w:val="1f1f1f"/>
          <w:sz w:val="20"/>
        </w:rPr>
        <w:t xml:space="preserve"> </w:t>
      </w:r>
      <w:hyperlink w:anchor="co_hn_anchor_F152047886627_1">
        <w:r>
          <w:rPr>
            <w:rFonts w:ascii="Times New Roman" w:hAnsi="Times New Roman"/>
            <w:b/>
            <w:color w:val="252525"/>
            <w:sz w:val="20"/>
            <w:bdr w:val="none" w:space="2"/>
            <w:vertAlign w:val="superscript"/>
          </w:rPr>
          <w:t>[15]</w:t>
        </w:r>
      </w:hyperlink>
      <w:r>
        <w:rPr>
          <w:rFonts w:ascii="Times New Roman" w:hAnsi="Times New Roman"/>
          <w:color w:val="1f1f1f"/>
          <w:sz w:val="20"/>
        </w:rPr>
        <w:t xml:space="preserve"> </w:t>
      </w:r>
      <w:hyperlink w:anchor="co_hn_anchor_F162047886627_1">
        <w:r>
          <w:rPr>
            <w:rFonts w:ascii="Times New Roman" w:hAnsi="Times New Roman"/>
            <w:b/>
            <w:color w:val="252525"/>
            <w:sz w:val="20"/>
            <w:bdr w:val="none" w:space="2"/>
            <w:vertAlign w:val="superscript"/>
          </w:rPr>
          <w:t>[16]</w:t>
        </w:r>
      </w:hyperlink>
      <w:r>
        <w:rPr>
          <w:rFonts w:ascii="Times New Roman" w:hAnsi="Times New Roman"/>
          <w:color w:val="1f1f1f"/>
          <w:sz w:val="20"/>
        </w:rPr>
        <w:t xml:space="preserve"> </w:t>
      </w:r>
      <w:hyperlink w:anchor="co_hn_anchor_F172047886627_1">
        <w:r>
          <w:rPr>
            <w:rFonts w:ascii="Times New Roman" w:hAnsi="Times New Roman"/>
            <w:b/>
            <w:color w:val="252525"/>
            <w:sz w:val="20"/>
            <w:bdr w:val="none" w:space="2"/>
            <w:vertAlign w:val="superscript"/>
          </w:rPr>
          <w:t>[17]</w:t>
        </w:r>
      </w:hyperlink>
      <w:hyperlink r:id="r255">
        <w:r>
          <w:rPr>
            <w:rFonts w:ascii="Times New Roman" w:hAnsi="Times New Roman"/>
            <w:color w:val="006fc4"/>
            <w:sz w:val="20"/>
          </w:rPr>
          <w:t>Section 230(c)(1)</w:t>
        </w:r>
      </w:hyperlink>
      <w:r>
        <w:rPr>
          <w:rFonts w:ascii="Times New Roman" w:hAnsi="Times New Roman"/>
          <w:color w:val="1f1f1f"/>
          <w:sz w:val="20"/>
        </w:rPr>
        <w:t xml:space="preserve"> “shields website operators from being ‘treated as the publisher or speaker’ of material posted by users of the site, </w:t>
      </w:r>
      <w:hyperlink r:id="r256">
        <w:r>
          <w:rPr>
            <w:rFonts w:ascii="Times New Roman" w:hAnsi="Times New Roman"/>
            <w:color w:val="006fc4"/>
            <w:sz w:val="20"/>
          </w:rPr>
          <w:t>47 U.S.C. § 230(c)(1)</w:t>
        </w:r>
      </w:hyperlink>
      <w:r>
        <w:rPr>
          <w:rFonts w:ascii="Times New Roman" w:hAnsi="Times New Roman"/>
          <w:color w:val="1f1f1f"/>
          <w:sz w:val="20"/>
        </w:rPr>
        <w:t xml:space="preserve">, which means that ‘lawsuits seeking to hold a service provider liable for its exercise of a publisher's traditional editorial functions – such as deciding whether to publish, withdraw, postpone or alter content – are barred.’ ” </w:t>
      </w:r>
      <w:hyperlink r:id="r257">
        <w:r>
          <w:rPr>
            <w:rFonts w:ascii="Times New Roman" w:hAnsi="Times New Roman"/>
            <w:i/>
            <w:color w:val="006fc4"/>
            <w:sz w:val="20"/>
          </w:rPr>
          <w:t>Jane Doe No. 1. v. Backpage.com, LLC</w:t>
        </w:r>
        <w:r>
          <w:rPr>
            <w:rFonts w:ascii="Times New Roman" w:hAnsi="Times New Roman"/>
            <w:color w:val="006fc4"/>
            <w:sz w:val="20"/>
          </w:rPr>
          <w:t>, 817 F.3d 12, 18 (1st Cir. 2016)</w:t>
        </w:r>
      </w:hyperlink>
      <w:r>
        <w:rPr>
          <w:rFonts w:ascii="Times New Roman" w:hAnsi="Times New Roman"/>
          <w:color w:val="1f1f1f"/>
          <w:sz w:val="20"/>
        </w:rPr>
        <w:t xml:space="preserve"> (quoting </w:t>
      </w:r>
      <w:hyperlink r:id="r258">
        <w:r>
          <w:rPr>
            <w:rFonts w:ascii="Times New Roman" w:hAnsi="Times New Roman"/>
            <w:i/>
            <w:color w:val="006fc4"/>
            <w:sz w:val="20"/>
          </w:rPr>
          <w:t>Zeran v. Am. Online, Inc.</w:t>
        </w:r>
        <w:r>
          <w:rPr>
            <w:rFonts w:ascii="Times New Roman" w:hAnsi="Times New Roman"/>
            <w:color w:val="006fc4"/>
            <w:sz w:val="20"/>
          </w:rPr>
          <w:t>, 129 F.3d 327, 330 (4th Cir. 1997)</w:t>
        </w:r>
      </w:hyperlink>
      <w:r>
        <w:rPr>
          <w:rFonts w:ascii="Times New Roman" w:hAnsi="Times New Roman"/>
          <w:color w:val="1f1f1f"/>
          <w:sz w:val="20"/>
        </w:rPr>
        <w:t xml:space="preserve">). The CDA defines an interactive computer service (“ICS”) as “any information service, system, or access software provider that provides or enables computer access by multiple users to a computer server, including ... </w:t>
      </w:r>
      <w:r>
        <w:rPr>
          <w:rFonts w:ascii="Times New Roman" w:hAnsi="Times New Roman"/>
          <w:i/>
          <w:color w:val="1f1f1f"/>
          <w:sz w:val="20"/>
        </w:rPr>
        <w:t>such systems operated or services offered by libraries or educational institutions.</w:t>
      </w:r>
      <w:r>
        <w:rPr>
          <w:rFonts w:ascii="Times New Roman" w:hAnsi="Times New Roman"/>
          <w:color w:val="1f1f1f"/>
          <w:sz w:val="20"/>
        </w:rPr>
        <w:t xml:space="preserve">” </w:t>
      </w:r>
      <w:hyperlink r:id="r259">
        <w:r>
          <w:rPr>
            <w:rFonts w:ascii="Times New Roman" w:hAnsi="Times New Roman"/>
            <w:color w:val="006fc4"/>
            <w:sz w:val="20"/>
          </w:rPr>
          <w:t>47 U.S.C. § 230(f)(2)</w:t>
        </w:r>
      </w:hyperlink>
      <w:r>
        <w:rPr>
          <w:rFonts w:ascii="Times New Roman" w:hAnsi="Times New Roman"/>
          <w:color w:val="1f1f1f"/>
          <w:sz w:val="20"/>
        </w:rPr>
        <w:t xml:space="preserve"> (emphasis supplied). </w:t>
      </w:r>
      <w:r>
        <w:rPr>
          <w:rFonts w:ascii="Times New Roman" w:hAnsi="Times New Roman"/>
          <w:i/>
          <w:color w:val="1f1f1f"/>
          <w:sz w:val="20"/>
        </w:rPr>
        <w:t>See</w:t>
      </w:r>
      <w:r>
        <w:rPr>
          <w:rFonts w:ascii="Times New Roman" w:hAnsi="Times New Roman"/>
          <w:color w:val="1f1f1f"/>
          <w:sz w:val="20"/>
        </w:rPr>
        <w:t xml:space="preserve"> </w:t>
      </w:r>
      <w:hyperlink r:id="r260">
        <w:r>
          <w:rPr>
            <w:rFonts w:ascii="Times New Roman" w:hAnsi="Times New Roman"/>
            <w:i/>
            <w:color w:val="006fc4"/>
            <w:sz w:val="20"/>
          </w:rPr>
          <w:t>Small Justice LLC v. Xcentric Ventures LLC</w:t>
        </w:r>
        <w:r>
          <w:rPr>
            <w:rFonts w:ascii="Times New Roman" w:hAnsi="Times New Roman"/>
            <w:color w:val="006fc4"/>
            <w:sz w:val="20"/>
          </w:rPr>
          <w:t>, 873 F.3d 313, 318 (1st Cir. 2017)</w:t>
        </w:r>
      </w:hyperlink>
      <w:r>
        <w:rPr>
          <w:rFonts w:ascii="Times New Roman" w:hAnsi="Times New Roman"/>
          <w:color w:val="1f1f1f"/>
          <w:sz w:val="20"/>
        </w:rPr>
        <w:t xml:space="preserve">. An “information content provider” (“ICP”) is defined, in turn, as “any person or entity that is responsible, in whole or in part, for the creation or development of information provided through the Internet or any other interactive computer service.” </w:t>
      </w:r>
      <w:hyperlink r:id="r261">
        <w:r>
          <w:rPr>
            <w:rFonts w:ascii="Times New Roman" w:hAnsi="Times New Roman"/>
            <w:color w:val="006fc4"/>
            <w:sz w:val="20"/>
          </w:rPr>
          <w:t>47 U.S.C. § 230(f)(3)</w:t>
        </w:r>
      </w:hyperlink>
      <w:r>
        <w:rPr>
          <w:rFonts w:ascii="Times New Roman" w:hAnsi="Times New Roman"/>
          <w:color w:val="1f1f1f"/>
          <w:sz w:val="20"/>
        </w:rPr>
        <w:t xml:space="preserve">. “This is a broad definition, covering even those who are responsible for the development of content only ‘in part.’ ” </w:t>
      </w:r>
      <w:hyperlink r:id="r262">
        <w:r>
          <w:rPr>
            <w:rFonts w:ascii="Times New Roman" w:hAnsi="Times New Roman"/>
            <w:i/>
            <w:color w:val="006fc4"/>
            <w:sz w:val="20"/>
          </w:rPr>
          <w:t>Universal Commc'n Sys., Inc. v. Lycos, Inc.</w:t>
        </w:r>
        <w:r>
          <w:rPr>
            <w:rFonts w:ascii="Times New Roman" w:hAnsi="Times New Roman"/>
            <w:color w:val="006fc4"/>
            <w:sz w:val="20"/>
          </w:rPr>
          <w:t>, 478 F.3d 413, 419 (1st Cir. 2007)</w:t>
        </w:r>
      </w:hyperlink>
      <w:r>
        <w:rPr>
          <w:rFonts w:ascii="Times New Roman" w:hAnsi="Times New Roman"/>
          <w:color w:val="1f1f1f"/>
          <w:sz w:val="20"/>
        </w:rPr>
        <w:t xml:space="preserve">. “A key limitation in </w:t>
      </w:r>
      <w:hyperlink r:id="r263">
        <w:r>
          <w:rPr>
            <w:rFonts w:ascii="Times New Roman" w:hAnsi="Times New Roman"/>
            <w:color w:val="006fc4"/>
            <w:sz w:val="20"/>
          </w:rPr>
          <w:t>Section 230</w:t>
        </w:r>
      </w:hyperlink>
      <w:r>
        <w:rPr>
          <w:rFonts w:ascii="Times New Roman" w:hAnsi="Times New Roman"/>
          <w:color w:val="1f1f1f"/>
          <w:sz w:val="20"/>
        </w:rPr>
        <w:t xml:space="preserve"> ... is that immunity only applies when the information that forms the basis for the ... claim has been provided by ‘</w:t>
      </w:r>
      <w:r>
        <w:rPr>
          <w:rFonts w:ascii="Times New Roman" w:hAnsi="Times New Roman"/>
          <w:i/>
          <w:color w:val="1f1f1f"/>
          <w:sz w:val="20"/>
        </w:rPr>
        <w:t>another</w:t>
      </w:r>
      <w:r>
        <w:rPr>
          <w:rFonts w:ascii="Times New Roman" w:hAnsi="Times New Roman"/>
          <w:color w:val="1f1f1f"/>
          <w:sz w:val="20"/>
        </w:rPr>
        <w:t xml:space="preserve"> information content provider.’ ... Thus, an interactive computer service provider remains liable for its own speech.” </w:t>
      </w:r>
      <w:r>
        <w:rPr>
          <w:rFonts w:ascii="Times New Roman" w:hAnsi="Times New Roman"/>
          <w:i/>
          <w:color w:val="1f1f1f"/>
          <w:sz w:val="20"/>
        </w:rPr>
        <w:t>Id.</w:t>
      </w:r>
      <w:r>
        <w:rPr>
          <w:rFonts w:ascii="Times New Roman" w:hAnsi="Times New Roman"/>
          <w:color w:val="1f1f1f"/>
          <w:sz w:val="20"/>
        </w:rPr>
        <w:t xml:space="preserve"> (quoting </w:t>
      </w:r>
      <w:hyperlink r:id="r264">
        <w:r>
          <w:rPr>
            <w:rFonts w:ascii="Times New Roman" w:hAnsi="Times New Roman"/>
            <w:color w:val="006fc4"/>
            <w:sz w:val="20"/>
          </w:rPr>
          <w:t>47 U.S.C. § 230(c)(1)</w:t>
        </w:r>
      </w:hyperlink>
      <w:r>
        <w:rPr>
          <w:rFonts w:ascii="Times New Roman" w:hAnsi="Times New Roman"/>
          <w:color w:val="1f1f1f"/>
          <w:sz w:val="20"/>
        </w:rPr>
        <w:t xml:space="preserve">; citing </w:t>
      </w:r>
      <w:hyperlink r:id="r265">
        <w:r>
          <w:rPr>
            <w:rFonts w:ascii="Times New Roman" w:hAnsi="Times New Roman"/>
            <w:i/>
            <w:color w:val="006fc4"/>
            <w:sz w:val="20"/>
          </w:rPr>
          <w:t>Anthony v. Yahoo! Inc.</w:t>
        </w:r>
        <w:r>
          <w:rPr>
            <w:rFonts w:ascii="Times New Roman" w:hAnsi="Times New Roman"/>
            <w:color w:val="006fc4"/>
            <w:sz w:val="20"/>
          </w:rPr>
          <w:t>, 421 F.Supp.2d 1257, 1262-63 (N.D. Cal. 2006)</w:t>
        </w:r>
      </w:hyperlink>
      <w:r>
        <w:rPr>
          <w:rFonts w:ascii="Times New Roman" w:hAnsi="Times New Roman"/>
          <w:color w:val="1f1f1f"/>
          <w:sz w:val="20"/>
        </w:rPr>
        <w:t xml:space="preserve">). “[T]here may be several information content providers with respect to a single item of information (each being ‘responsible,’ at least ‘in part,’ for its ‘creation or development’).” </w:t>
      </w:r>
      <w:hyperlink r:id="r266">
        <w:r>
          <w:rPr>
            <w:rFonts w:ascii="Times New Roman" w:hAnsi="Times New Roman"/>
            <w:i/>
            <w:color w:val="006fc4"/>
            <w:sz w:val="20"/>
          </w:rPr>
          <w:t>Fed. Trade Comm'n v. Accusearch Inc.</w:t>
        </w:r>
        <w:r>
          <w:rPr>
            <w:rFonts w:ascii="Times New Roman" w:hAnsi="Times New Roman"/>
            <w:color w:val="006fc4"/>
            <w:sz w:val="20"/>
          </w:rPr>
          <w:t>, 570 F.3d 1187, 1197 (10th Cir. 2009)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200" w:name="co_pp_sp_7903_65_1"/>
      <w:r>
        <w:rPr>
          <w:rFonts w:ascii="Times New Roman" w:hAnsi="Times New Roman"/>
          <w:b/>
          <w:color w:val="000000"/>
          <w:sz w:val="20"/>
        </w:rPr>
        <w:t>*65</w:t>
      </w:r>
      <w:bookmarkEnd w:id="200"/>
      <w:r>
        <w:rPr>
          <w:rFonts w:ascii="Times New Roman" w:hAnsi="Times New Roman"/>
          <w:color w:val="1f1f1f"/>
          <w:sz w:val="20"/>
        </w:rPr>
        <w:t xml:space="preserve"> </w:t>
      </w:r>
      <w:hyperlink w:anchor="co_hn_anchor_F182047886627_1">
        <w:r>
          <w:rPr>
            <w:rFonts w:ascii="Times New Roman" w:hAnsi="Times New Roman"/>
            <w:b/>
            <w:color w:val="252525"/>
            <w:sz w:val="20"/>
            <w:bdr w:val="none" w:space="2"/>
            <w:vertAlign w:val="superscript"/>
          </w:rPr>
          <w:t>[18]</w:t>
        </w:r>
      </w:hyperlink>
      <w:r>
        <w:rPr>
          <w:rFonts w:ascii="Times New Roman" w:hAnsi="Times New Roman"/>
          <w:color w:val="1f1f1f"/>
          <w:sz w:val="20"/>
        </w:rPr>
        <w:t xml:space="preserve">“Congress enacted [the CDA] partially in response to court cases that held internet publishers liable for defamatory statements posted by third parties on message boards maintained by the publishers.” </w:t>
      </w:r>
      <w:hyperlink r:id="r267">
        <w:r>
          <w:rPr>
            <w:rFonts w:ascii="Times New Roman" w:hAnsi="Times New Roman"/>
            <w:i/>
            <w:color w:val="006fc4"/>
            <w:sz w:val="20"/>
          </w:rPr>
          <w:t>Backpage.com</w:t>
        </w:r>
        <w:r>
          <w:rPr>
            <w:rFonts w:ascii="Times New Roman" w:hAnsi="Times New Roman"/>
            <w:color w:val="006fc4"/>
            <w:sz w:val="20"/>
          </w:rPr>
          <w:t>, 817 F.3d at 18</w:t>
        </w:r>
      </w:hyperlink>
      <w:r>
        <w:rPr>
          <w:rFonts w:ascii="Times New Roman" w:hAnsi="Times New Roman"/>
          <w:color w:val="1f1f1f"/>
          <w:sz w:val="20"/>
        </w:rPr>
        <w:t xml:space="preserve">. “In specific statutory findings, Congress recognized the Internet and interactive computer services as offering ‘a forum for a true diversity of political discourse, unique opportunities for cultural development, and myriad avenues for intellectual activity.’ ” </w:t>
      </w:r>
      <w:hyperlink r:id="r268">
        <w:r>
          <w:rPr>
            <w:rFonts w:ascii="Times New Roman" w:hAnsi="Times New Roman"/>
            <w:i/>
            <w:color w:val="006fc4"/>
            <w:sz w:val="20"/>
          </w:rPr>
          <w:t>Zeran</w:t>
        </w:r>
        <w:r>
          <w:rPr>
            <w:rFonts w:ascii="Times New Roman" w:hAnsi="Times New Roman"/>
            <w:color w:val="006fc4"/>
            <w:sz w:val="20"/>
          </w:rPr>
          <w:t>, 129 F.3d at 330</w:t>
        </w:r>
      </w:hyperlink>
      <w:r>
        <w:rPr>
          <w:rFonts w:ascii="Times New Roman" w:hAnsi="Times New Roman"/>
          <w:color w:val="1f1f1f"/>
          <w:sz w:val="20"/>
        </w:rPr>
        <w:t xml:space="preserve"> (quoting </w:t>
      </w:r>
      <w:hyperlink r:id="r269">
        <w:r>
          <w:rPr>
            <w:rFonts w:ascii="Times New Roman" w:hAnsi="Times New Roman"/>
            <w:color w:val="006fc4"/>
            <w:sz w:val="20"/>
          </w:rPr>
          <w:t>section 230(a)(3)</w:t>
        </w:r>
      </w:hyperlink>
      <w:r>
        <w:rPr>
          <w:rFonts w:ascii="Times New Roman" w:hAnsi="Times New Roman"/>
          <w:color w:val="1f1f1f"/>
          <w:sz w:val="20"/>
        </w:rPr>
        <w:t xml:space="preserve">). “Congress made a policy choice ... not to deter harmful online speech through the separate route of imposing tort liability on companies that serve as intermediaries for other parties' potentially injurious messages.” </w:t>
      </w:r>
      <w:hyperlink r:id="r270">
        <w:r>
          <w:rPr>
            <w:rFonts w:ascii="Times New Roman" w:hAnsi="Times New Roman"/>
            <w:i/>
            <w:color w:val="006fc4"/>
            <w:sz w:val="20"/>
          </w:rPr>
          <w:t>Id.</w:t>
        </w:r>
        <w:r>
          <w:rPr>
            <w:rFonts w:ascii="Times New Roman" w:hAnsi="Times New Roman"/>
            <w:color w:val="006fc4"/>
            <w:sz w:val="20"/>
          </w:rPr>
          <w:t xml:space="preserve"> at 330-31</w:t>
        </w:r>
      </w:hyperlink>
      <w:r>
        <w:rPr>
          <w:rFonts w:ascii="Times New Roman" w:hAnsi="Times New Roman"/>
          <w:color w:val="1f1f1f"/>
          <w:sz w:val="20"/>
        </w:rPr>
        <w:t xml:space="preserve">. Accordingly, “[t]here has been near universal agreement that </w:t>
      </w:r>
      <w:hyperlink r:id="r271">
        <w:r>
          <w:rPr>
            <w:rFonts w:ascii="Times New Roman" w:hAnsi="Times New Roman"/>
            <w:color w:val="006fc4"/>
            <w:sz w:val="20"/>
          </w:rPr>
          <w:t>section 230</w:t>
        </w:r>
      </w:hyperlink>
      <w:r>
        <w:rPr>
          <w:rFonts w:ascii="Times New Roman" w:hAnsi="Times New Roman"/>
          <w:color w:val="1f1f1f"/>
          <w:sz w:val="20"/>
        </w:rPr>
        <w:t xml:space="preserve"> should not be construed grudgingly.” </w:t>
      </w:r>
      <w:hyperlink r:id="r272">
        <w:r>
          <w:rPr>
            <w:rFonts w:ascii="Times New Roman" w:hAnsi="Times New Roman"/>
            <w:i/>
            <w:color w:val="006fc4"/>
            <w:sz w:val="20"/>
          </w:rPr>
          <w:t>Backpage.com</w:t>
        </w:r>
        <w:r>
          <w:rPr>
            <w:rFonts w:ascii="Times New Roman" w:hAnsi="Times New Roman"/>
            <w:color w:val="006fc4"/>
            <w:sz w:val="20"/>
          </w:rPr>
          <w:t>, 817 F.3d at 18</w:t>
        </w:r>
      </w:hyperlink>
      <w:r>
        <w:rPr>
          <w:rFonts w:ascii="Times New Roman" w:hAnsi="Times New Roman"/>
          <w:color w:val="1f1f1f"/>
          <w:sz w:val="20"/>
        </w:rPr>
        <w:t xml:space="preserve"> (citing </w:t>
      </w:r>
      <w:hyperlink r:id="r273">
        <w:r>
          <w:rPr>
            <w:rFonts w:ascii="Times New Roman" w:hAnsi="Times New Roman"/>
            <w:i/>
            <w:color w:val="006fc4"/>
            <w:sz w:val="20"/>
          </w:rPr>
          <w:t>Doe v. MySpace, Inc.,</w:t>
        </w:r>
        <w:r>
          <w:rPr>
            <w:rFonts w:ascii="Times New Roman" w:hAnsi="Times New Roman"/>
            <w:color w:val="006fc4"/>
            <w:sz w:val="20"/>
          </w:rPr>
          <w:t xml:space="preserve"> 528 F.3d 413, 418 (5th Cir. 2008)</w:t>
        </w:r>
      </w:hyperlink>
      <w:r>
        <w:rPr>
          <w:rFonts w:ascii="Times New Roman" w:hAnsi="Times New Roman"/>
          <w:color w:val="1f1f1f"/>
          <w:sz w:val="20"/>
        </w:rPr>
        <w:t xml:space="preserve">; </w:t>
      </w:r>
      <w:hyperlink r:id="r274">
        <w:r>
          <w:rPr>
            <w:rFonts w:ascii="Times New Roman" w:hAnsi="Times New Roman"/>
            <w:i/>
            <w:color w:val="006fc4"/>
            <w:sz w:val="20"/>
          </w:rPr>
          <w:t>Lycos</w:t>
        </w:r>
        <w:r>
          <w:rPr>
            <w:rFonts w:ascii="Times New Roman" w:hAnsi="Times New Roman"/>
            <w:color w:val="006fc4"/>
            <w:sz w:val="20"/>
          </w:rPr>
          <w:t>, 478 F.3d at 419</w:t>
        </w:r>
      </w:hyperlink>
      <w:r>
        <w:rPr>
          <w:rFonts w:ascii="Times New Roman" w:hAnsi="Times New Roman"/>
          <w:color w:val="1f1f1f"/>
          <w:sz w:val="20"/>
        </w:rPr>
        <w:t xml:space="preserve">; </w:t>
      </w:r>
      <w:hyperlink r:id="r275">
        <w:r>
          <w:rPr>
            <w:rFonts w:ascii="Times New Roman" w:hAnsi="Times New Roman"/>
            <w:i/>
            <w:color w:val="006fc4"/>
            <w:sz w:val="20"/>
          </w:rPr>
          <w:t>Almeida v. Amazon.com, Inc.</w:t>
        </w:r>
        <w:r>
          <w:rPr>
            <w:rFonts w:ascii="Times New Roman" w:hAnsi="Times New Roman"/>
            <w:color w:val="006fc4"/>
            <w:sz w:val="20"/>
          </w:rPr>
          <w:t>, 456 F.3d 1316, 1321-22 (11th Cir. 2006)</w:t>
        </w:r>
      </w:hyperlink>
      <w:r>
        <w:rPr>
          <w:rFonts w:ascii="Times New Roman" w:hAnsi="Times New Roman"/>
          <w:color w:val="1f1f1f"/>
          <w:sz w:val="20"/>
        </w:rPr>
        <w:t xml:space="preserve">; </w:t>
      </w:r>
      <w:hyperlink r:id="r276">
        <w:r>
          <w:rPr>
            <w:rFonts w:ascii="Times New Roman" w:hAnsi="Times New Roman"/>
            <w:i/>
            <w:color w:val="006fc4"/>
            <w:sz w:val="20"/>
          </w:rPr>
          <w:t>Carafano v. Metrosplash.com, Inc.,</w:t>
        </w:r>
        <w:r>
          <w:rPr>
            <w:rFonts w:ascii="Times New Roman" w:hAnsi="Times New Roman"/>
            <w:color w:val="006fc4"/>
            <w:sz w:val="20"/>
          </w:rPr>
          <w:t xml:space="preserve"> 339 F.3d 1119, 1123 (9th Cir. 2003)</w:t>
        </w:r>
      </w:hyperlink>
      <w:r>
        <w:rPr>
          <w:rFonts w:ascii="Times New Roman" w:hAnsi="Times New Roman"/>
          <w:color w:val="1f1f1f"/>
          <w:sz w:val="20"/>
        </w:rPr>
        <w:t xml:space="preserve">). The broad construction accorded to </w:t>
      </w:r>
      <w:hyperlink r:id="r277">
        <w:r>
          <w:rPr>
            <w:rFonts w:ascii="Times New Roman" w:hAnsi="Times New Roman"/>
            <w:color w:val="006fc4"/>
            <w:sz w:val="20"/>
          </w:rPr>
          <w:t>Section 230(c)</w:t>
        </w:r>
      </w:hyperlink>
      <w:r>
        <w:rPr>
          <w:rFonts w:ascii="Times New Roman" w:hAnsi="Times New Roman"/>
          <w:color w:val="1f1f1f"/>
          <w:sz w:val="20"/>
        </w:rPr>
        <w:t xml:space="preserve"> has resulted in the recognition by courts across the country that “ ‘many causes of action might be premised on the publication or speaking of what one might call ‘information content.’ ’ ” </w:t>
      </w:r>
      <w:hyperlink r:id="r278">
        <w:r>
          <w:rPr>
            <w:rFonts w:ascii="Times New Roman" w:hAnsi="Times New Roman"/>
            <w:i/>
            <w:color w:val="006fc4"/>
            <w:sz w:val="20"/>
          </w:rPr>
          <w:t>Id.</w:t>
        </w:r>
        <w:r>
          <w:rPr>
            <w:rFonts w:ascii="Times New Roman" w:hAnsi="Times New Roman"/>
            <w:color w:val="006fc4"/>
            <w:sz w:val="20"/>
          </w:rPr>
          <w:t xml:space="preserve"> at 19</w:t>
        </w:r>
      </w:hyperlink>
      <w:r>
        <w:rPr>
          <w:rFonts w:ascii="Times New Roman" w:hAnsi="Times New Roman"/>
          <w:color w:val="1f1f1f"/>
          <w:sz w:val="20"/>
        </w:rPr>
        <w:t xml:space="preserve"> (quoting </w:t>
      </w:r>
      <w:hyperlink r:id="r279">
        <w:r>
          <w:rPr>
            <w:rFonts w:ascii="Times New Roman" w:hAnsi="Times New Roman"/>
            <w:i/>
            <w:color w:val="006fc4"/>
            <w:sz w:val="20"/>
          </w:rPr>
          <w:t>Barnes v. Yahoo!, Inc.</w:t>
        </w:r>
        <w:r>
          <w:rPr>
            <w:rFonts w:ascii="Times New Roman" w:hAnsi="Times New Roman"/>
            <w:color w:val="006fc4"/>
            <w:sz w:val="20"/>
          </w:rPr>
          <w:t>, 570 F.3d 1096, 1101 (9th Cir. 2009)</w:t>
        </w:r>
      </w:hyperlink>
      <w:r>
        <w:rPr>
          <w:rFonts w:ascii="Times New Roman" w:hAnsi="Times New Roman"/>
          <w:color w:val="1f1f1f"/>
          <w:sz w:val="20"/>
        </w:rPr>
        <w:t>).</w:t>
      </w:r>
    </w:p>
    <w:p>
      <w:pPr>
        <w:spacing w:before="200" w:after="0" w:line="275" w:lineRule="atLeast"/>
        <w:ind w:left="480" w:right="480" w:firstLine="0"/>
        <w:jc w:val="both"/>
      </w:pPr>
      <w:r>
        <w:rPr>
          <w:rFonts w:ascii="Times New Roman" w:hAnsi="Times New Roman"/>
          <w:color w:val="1f1f1f"/>
          <w:sz w:val="20"/>
        </w:rPr>
        <w:t xml:space="preserve">Thus, courts have invoked the prophylaxis of </w:t>
      </w:r>
      <w:hyperlink r:id="r280">
        <w:r>
          <w:rPr>
            <w:rFonts w:ascii="Times New Roman" w:hAnsi="Times New Roman"/>
            <w:color w:val="006fc4"/>
            <w:sz w:val="20"/>
          </w:rPr>
          <w:t>section 230(c)(1)</w:t>
        </w:r>
      </w:hyperlink>
      <w:r>
        <w:rPr>
          <w:rFonts w:ascii="Times New Roman" w:hAnsi="Times New Roman"/>
          <w:color w:val="1f1f1f"/>
          <w:sz w:val="20"/>
        </w:rPr>
        <w:t xml:space="preserve"> in connection with a wide variety of causes of action, including housing discrimination, </w:t>
      </w:r>
      <w:r>
        <w:rPr>
          <w:rFonts w:ascii="Times New Roman" w:hAnsi="Times New Roman"/>
          <w:i/>
          <w:color w:val="1f1f1f"/>
          <w:sz w:val="20"/>
        </w:rPr>
        <w:t xml:space="preserve">see </w:t>
      </w:r>
      <w:hyperlink r:id="r281">
        <w:r>
          <w:rPr>
            <w:rFonts w:ascii="Times New Roman" w:hAnsi="Times New Roman"/>
            <w:i/>
            <w:color w:val="006fc4"/>
            <w:sz w:val="20"/>
          </w:rPr>
          <w:t>Chi. Lawyers' Comm. for Civil Rights Under Law, Inc. v. Craigslist, Inc.</w:t>
        </w:r>
        <w:r>
          <w:rPr>
            <w:rFonts w:ascii="Times New Roman" w:hAnsi="Times New Roman"/>
            <w:color w:val="006fc4"/>
            <w:sz w:val="20"/>
          </w:rPr>
          <w:t>, 519 F.3d 666, 671-72 (7th Cir. 2008)</w:t>
        </w:r>
      </w:hyperlink>
      <w:r>
        <w:rPr>
          <w:rFonts w:ascii="Times New Roman" w:hAnsi="Times New Roman"/>
          <w:color w:val="1f1f1f"/>
          <w:sz w:val="20"/>
        </w:rPr>
        <w:t xml:space="preserve">, negligence, </w:t>
      </w:r>
      <w:r>
        <w:rPr>
          <w:rFonts w:ascii="Times New Roman" w:hAnsi="Times New Roman"/>
          <w:i/>
          <w:color w:val="1f1f1f"/>
          <w:sz w:val="20"/>
        </w:rPr>
        <w:t>see</w:t>
      </w:r>
      <w:r>
        <w:rPr>
          <w:rFonts w:ascii="Times New Roman" w:hAnsi="Times New Roman"/>
          <w:color w:val="1f1f1f"/>
          <w:sz w:val="20"/>
        </w:rPr>
        <w:t xml:space="preserve"> </w:t>
      </w:r>
      <w:hyperlink r:id="r282">
        <w:r>
          <w:rPr>
            <w:rFonts w:ascii="Times New Roman" w:hAnsi="Times New Roman"/>
            <w:i/>
            <w:color w:val="006fc4"/>
            <w:sz w:val="20"/>
          </w:rPr>
          <w:t>Doe</w:t>
        </w:r>
        <w:r>
          <w:rPr>
            <w:rFonts w:ascii="Times New Roman" w:hAnsi="Times New Roman"/>
            <w:color w:val="006fc4"/>
            <w:sz w:val="20"/>
          </w:rPr>
          <w:t>, 528 F.3d at 418</w:t>
        </w:r>
      </w:hyperlink>
      <w:r>
        <w:rPr>
          <w:rFonts w:ascii="Times New Roman" w:hAnsi="Times New Roman"/>
          <w:color w:val="1f1f1f"/>
          <w:sz w:val="20"/>
        </w:rPr>
        <w:t xml:space="preserve">, </w:t>
      </w:r>
      <w:hyperlink r:id="r283">
        <w:r>
          <w:rPr>
            <w:rFonts w:ascii="Times New Roman" w:hAnsi="Times New Roman"/>
            <w:i/>
            <w:color w:val="006fc4"/>
            <w:sz w:val="20"/>
          </w:rPr>
          <w:t>Green v. Am. Online (AOL)</w:t>
        </w:r>
        <w:r>
          <w:rPr>
            <w:rFonts w:ascii="Times New Roman" w:hAnsi="Times New Roman"/>
            <w:color w:val="006fc4"/>
            <w:sz w:val="20"/>
          </w:rPr>
          <w:t>, 318 F.3d 465, 470-71 (3d Cir. 2003)</w:t>
        </w:r>
      </w:hyperlink>
      <w:r>
        <w:rPr>
          <w:rFonts w:ascii="Times New Roman" w:hAnsi="Times New Roman"/>
          <w:color w:val="1f1f1f"/>
          <w:sz w:val="20"/>
        </w:rPr>
        <w:t xml:space="preserve">, and securities fraud and cyberstalking, </w:t>
      </w:r>
      <w:r>
        <w:rPr>
          <w:rFonts w:ascii="Times New Roman" w:hAnsi="Times New Roman"/>
          <w:i/>
          <w:color w:val="1f1f1f"/>
          <w:sz w:val="20"/>
        </w:rPr>
        <w:t>see</w:t>
      </w:r>
      <w:r>
        <w:rPr>
          <w:rFonts w:ascii="Times New Roman" w:hAnsi="Times New Roman"/>
          <w:color w:val="1f1f1f"/>
          <w:sz w:val="20"/>
        </w:rPr>
        <w:t xml:space="preserve"> </w:t>
      </w:r>
      <w:hyperlink r:id="r284">
        <w:r>
          <w:rPr>
            <w:rFonts w:ascii="Times New Roman" w:hAnsi="Times New Roman"/>
            <w:i/>
            <w:color w:val="006fc4"/>
            <w:sz w:val="20"/>
          </w:rPr>
          <w:t>Lycos</w:t>
        </w:r>
        <w:r>
          <w:rPr>
            <w:rFonts w:ascii="Times New Roman" w:hAnsi="Times New Roman"/>
            <w:color w:val="006fc4"/>
            <w:sz w:val="20"/>
          </w:rPr>
          <w:t>, 478 F.3d at 421-422</w:t>
        </w:r>
      </w:hyperlink>
      <w:r>
        <w:rPr>
          <w:rFonts w:ascii="Times New Roman" w:hAnsi="Times New Roman"/>
          <w:color w:val="1f1f1f"/>
          <w:sz w:val="20"/>
        </w:rPr>
        <w:t>.</w:t>
      </w:r>
    </w:p>
    <w:p>
      <w:pPr>
        <w:spacing w:before="200" w:after="0" w:line="275" w:lineRule="atLeast"/>
        <w:jc w:val="both"/>
      </w:pPr>
      <w:r>
        <w:rPr>
          <w:rFonts w:ascii="Times New Roman" w:hAnsi="Times New Roman"/>
          <w:i/>
          <w:color w:val="1f1f1f"/>
          <w:sz w:val="20"/>
        </w:rPr>
        <w:t>Id. See also</w:t>
      </w:r>
      <w:r>
        <w:rPr>
          <w:rFonts w:ascii="Times New Roman" w:hAnsi="Times New Roman"/>
          <w:color w:val="1f1f1f"/>
          <w:sz w:val="20"/>
        </w:rPr>
        <w:t xml:space="preserve"> </w:t>
      </w:r>
      <w:hyperlink r:id="r285">
        <w:r>
          <w:rPr>
            <w:rFonts w:ascii="Times New Roman" w:hAnsi="Times New Roman"/>
            <w:i/>
            <w:color w:val="006fc4"/>
            <w:sz w:val="20"/>
          </w:rPr>
          <w:t>Sikhs for Justice, Inc. v. Facebook, Inc.</w:t>
        </w:r>
        <w:r>
          <w:rPr>
            <w:rFonts w:ascii="Times New Roman" w:hAnsi="Times New Roman"/>
            <w:color w:val="006fc4"/>
            <w:sz w:val="20"/>
          </w:rPr>
          <w:t>, 697 Fed. App'x. 526, 526 (9th Cir. 2017)</w:t>
        </w:r>
      </w:hyperlink>
      <w:r>
        <w:rPr>
          <w:rFonts w:ascii="Times New Roman" w:hAnsi="Times New Roman"/>
          <w:color w:val="1f1f1f"/>
          <w:sz w:val="20"/>
        </w:rPr>
        <w:t xml:space="preserve"> (“[W]e have found no authority, and [plaintiff] fails to cite any authority, holding that Title II of the Civil Rights Act of 1964 provides an exception to the immunity afforded to [defendant] under the CDA.”).</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w:t>
      </w:r>
      <w:r>
        <w:rPr>
          <w:rFonts w:ascii="Times New Roman" w:hAnsi="Times New Roman"/>
          <w:i/>
          <w:color w:val="1f1f1f"/>
          <w:sz w:val="20"/>
        </w:rPr>
        <w:t>Lycos</w:t>
      </w:r>
      <w:r>
        <w:rPr>
          <w:rFonts w:ascii="Times New Roman" w:hAnsi="Times New Roman"/>
          <w:color w:val="1f1f1f"/>
          <w:sz w:val="20"/>
        </w:rPr>
        <w:t xml:space="preserve">, for Harvard to avail itself of the immunity set forth in </w:t>
      </w:r>
      <w:hyperlink r:id="r286">
        <w:r>
          <w:rPr>
            <w:rFonts w:ascii="Times New Roman" w:hAnsi="Times New Roman"/>
            <w:color w:val="006fc4"/>
            <w:sz w:val="20"/>
          </w:rPr>
          <w:t>Section 230(c)(1)</w:t>
        </w:r>
      </w:hyperlink>
      <w:r>
        <w:rPr>
          <w:rFonts w:ascii="Times New Roman" w:hAnsi="Times New Roman"/>
          <w:color w:val="1f1f1f"/>
          <w:sz w:val="20"/>
        </w:rPr>
        <w:t xml:space="preserve">, “ ‘(1) [Harvard] must be a provider or user of an [ICS]; (2) the Plaintiffs' claim [must be] based on information provided by another [ICP]; and (3) the claim [must] treat [Harvard] as the publisher or speaker of that information.’ ” </w:t>
      </w:r>
      <w:hyperlink r:id="r287">
        <w:r>
          <w:rPr>
            <w:rFonts w:ascii="Times New Roman" w:hAnsi="Times New Roman"/>
            <w:i/>
            <w:color w:val="006fc4"/>
            <w:sz w:val="20"/>
          </w:rPr>
          <w:t>Small Justice, LLC</w:t>
        </w:r>
        <w:r>
          <w:rPr>
            <w:rFonts w:ascii="Times New Roman" w:hAnsi="Times New Roman"/>
            <w:color w:val="006fc4"/>
            <w:sz w:val="20"/>
          </w:rPr>
          <w:t>, 873 F.3d at 318</w:t>
        </w:r>
      </w:hyperlink>
      <w:r>
        <w:rPr>
          <w:rFonts w:ascii="Times New Roman" w:hAnsi="Times New Roman"/>
          <w:color w:val="1f1f1f"/>
          <w:sz w:val="20"/>
        </w:rPr>
        <w:t xml:space="preserve"> (quoting </w:t>
      </w:r>
      <w:hyperlink r:id="r288">
        <w:r>
          <w:rPr>
            <w:rFonts w:ascii="Times New Roman" w:hAnsi="Times New Roman"/>
            <w:i/>
            <w:color w:val="006fc4"/>
            <w:sz w:val="20"/>
          </w:rPr>
          <w:t>Lycos</w:t>
        </w:r>
        <w:r>
          <w:rPr>
            <w:rFonts w:ascii="Times New Roman" w:hAnsi="Times New Roman"/>
            <w:color w:val="006fc4"/>
            <w:sz w:val="20"/>
          </w:rPr>
          <w:t>, 478 F.3d at 418</w:t>
        </w:r>
      </w:hyperlink>
      <w:r>
        <w:rPr>
          <w:rFonts w:ascii="Times New Roman" w:hAnsi="Times New Roman"/>
          <w:color w:val="1f1f1f"/>
          <w:sz w:val="20"/>
        </w:rPr>
        <w:t xml:space="preserve">). If Plaintiffs' claims treat Harvard in the capacity of an ICS publishing a third party's content, then, “as the publisher of a particular posting, immunity applies not only for [Harvard's] decisions with respect to that posting, but also for its inherent decisions about how to treat postings generally.” </w:t>
      </w:r>
      <w:hyperlink r:id="r289">
        <w:r>
          <w:rPr>
            <w:rFonts w:ascii="Times New Roman" w:hAnsi="Times New Roman"/>
            <w:i/>
            <w:color w:val="006fc4"/>
            <w:sz w:val="20"/>
          </w:rPr>
          <w:t>Lycos</w:t>
        </w:r>
        <w:r>
          <w:rPr>
            <w:rFonts w:ascii="Times New Roman" w:hAnsi="Times New Roman"/>
            <w:color w:val="006fc4"/>
            <w:sz w:val="20"/>
          </w:rPr>
          <w:t>, 478 F.3d at 422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201" w:name="co_anchor_I8dc93ec12db911ee894ea066ce69"/>
    <w:p>
      <w:pPr>
        <w:spacing w:before="400" w:after="0" w:line="275" w:lineRule="atLeast"/>
        <w:jc w:val="center"/>
      </w:pPr>
      <w:r>
        <w:rPr>
          <w:rFonts w:ascii="Times New Roman" w:hAnsi="Times New Roman"/>
          <w:color w:val="1f1f1f"/>
          <w:sz w:val="20"/>
        </w:rPr>
        <w:t xml:space="preserve">2. </w:t>
      </w:r>
      <w:r>
        <w:rPr>
          <w:rFonts w:ascii="Times New Roman" w:hAnsi="Times New Roman"/>
          <w:color w:val="1f1f1f"/>
          <w:sz w:val="20"/>
          <w:u w:val="single" w:color="1f1f1f"/>
        </w:rPr>
        <w:t>CDA Immunity and This Case</w:t>
      </w:r>
    </w:p>
    <w:bookmarkEnd w:id="201"/>
    <w:p>
      <w:pPr>
        <w:spacing w:before="200" w:after="0" w:line="275" w:lineRule="atLeast"/>
        <w:jc w:val="both"/>
      </w:pPr>
      <w:hyperlink w:anchor="co_hn_anchor_F192047886627_1">
        <w:r>
          <w:rPr>
            <w:rFonts w:ascii="Times New Roman" w:hAnsi="Times New Roman"/>
            <w:b/>
            <w:color w:val="252525"/>
            <w:sz w:val="20"/>
            <w:bdr w:val="none" w:space="2"/>
            <w:vertAlign w:val="superscript"/>
          </w:rPr>
          <w:t>[19]</w:t>
        </w:r>
      </w:hyperlink>
      <w:r>
        <w:rPr>
          <w:rFonts w:ascii="Times New Roman" w:hAnsi="Times New Roman"/>
          <w:color w:val="1f1f1f"/>
          <w:sz w:val="20"/>
        </w:rPr>
        <w:t xml:space="preserve">The complaint defines “Harvard's Online Content,” which is the basis of Plaintiffs' claims, as online content that Harvard produces and/or makes available on its platforms and seeks to hold Harvard responsible regardless of whether Harvard creates or produces the content that either completely lacks captioning or lacks accurate captioning (Compl. at pp. 10-11, ¶¶ 28, 36). Harvard argues that it is entitled to CDA immunity to the extent Plaintiffs seek to hold Harvard liable for providing server space and websites and platforms for content posted by third parties and for embedded content for which Harvard's websites and platforms merely provide enabling tools that display others' content </w:t>
      </w:r>
      <w:bookmarkStart w:id="202" w:name="co_pp_sp_7903_66_1"/>
      <w:r>
        <w:rPr>
          <w:rFonts w:ascii="Times New Roman" w:hAnsi="Times New Roman"/>
          <w:b/>
          <w:color w:val="000000"/>
          <w:sz w:val="20"/>
        </w:rPr>
        <w:t>*66</w:t>
      </w:r>
      <w:bookmarkEnd w:id="202"/>
      <w:r>
        <w:rPr>
          <w:rFonts w:ascii="Times New Roman" w:hAnsi="Times New Roman"/>
          <w:color w:val="1f1f1f"/>
          <w:sz w:val="20"/>
        </w:rPr>
        <w:t xml:space="preserve"> (Dkt. No. 141 at 17). Plaintiffs respond, first, that CDA immunity only applies to the content of online material and has no application to the failure to accommodate that is the basis of their claims, and, second, that the CDA does not provide immunity for an entity like Harvard that controls who can post on its websites and platforms (Dkt. No. 147 at 18).</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02047886627_1">
        <w:r>
          <w:rPr>
            <w:rFonts w:ascii="Times New Roman" w:hAnsi="Times New Roman"/>
            <w:b/>
            <w:color w:val="252525"/>
            <w:sz w:val="20"/>
            <w:bdr w:val="none" w:space="2"/>
            <w:vertAlign w:val="superscript"/>
          </w:rPr>
          <w:t>[20]</w:t>
        </w:r>
      </w:hyperlink>
      <w:r>
        <w:rPr>
          <w:rFonts w:ascii="Times New Roman" w:hAnsi="Times New Roman"/>
          <w:color w:val="1f1f1f"/>
          <w:sz w:val="20"/>
        </w:rPr>
        <w:t xml:space="preserve">Plaintiffs have not pointed to any support for their claim that the CDA does not apply when a plaintiff claims disability discrimination based on a lack of access rather than on the content of speech, and the court has found none. The CDA exempts certain laws from its reach. Federal and state antidiscrimination statutes are not exempted. </w:t>
      </w:r>
      <w:r>
        <w:rPr>
          <w:rFonts w:ascii="Times New Roman" w:hAnsi="Times New Roman"/>
          <w:i/>
          <w:color w:val="1f1f1f"/>
          <w:sz w:val="20"/>
        </w:rPr>
        <w:t>See</w:t>
      </w:r>
      <w:r>
        <w:rPr>
          <w:rFonts w:ascii="Times New Roman" w:hAnsi="Times New Roman"/>
          <w:color w:val="1f1f1f"/>
          <w:sz w:val="20"/>
        </w:rPr>
        <w:t xml:space="preserve"> 47 U.C.S. </w:t>
      </w:r>
      <w:hyperlink r:id="r290">
        <w:r>
          <w:rPr>
            <w:rFonts w:ascii="Times New Roman" w:hAnsi="Times New Roman"/>
            <w:color w:val="006fc4"/>
            <w:sz w:val="20"/>
          </w:rPr>
          <w:t>§ 230(e)</w:t>
        </w:r>
      </w:hyperlink>
      <w:r>
        <w:rPr>
          <w:rFonts w:ascii="Times New Roman" w:hAnsi="Times New Roman"/>
          <w:color w:val="1f1f1f"/>
          <w:sz w:val="20"/>
        </w:rPr>
        <w:t xml:space="preserve"> (providing that the CDA has no effect on criminal law, intellectual property law, communications privacy law, sex trafficking laws, or state laws that are consistent with the CDA). The Seventh Circuit considered and rejected an argument similar to the argument made by Plaintiffs. In its suit against Craigslist, the plaintiff Lawyers' Committee for Civil Rights Under Law (“Lawyers' Committee”) argued that “ ‘nothing in </w:t>
      </w:r>
      <w:hyperlink r:id="r291">
        <w:r>
          <w:rPr>
            <w:rFonts w:ascii="Times New Roman" w:hAnsi="Times New Roman"/>
            <w:color w:val="006fc4"/>
            <w:sz w:val="20"/>
          </w:rPr>
          <w:t>§ 230</w:t>
        </w:r>
      </w:hyperlink>
      <w:r>
        <w:rPr>
          <w:rFonts w:ascii="Times New Roman" w:hAnsi="Times New Roman"/>
          <w:color w:val="1f1f1f"/>
          <w:sz w:val="20"/>
        </w:rPr>
        <w:t xml:space="preserve">’s text or history suggests that Congress meant to immunize an ISP from liability under the Fair Housing Act. In fact, Congress did not even remotely contemplate discriminatory housing advertisements when it passed </w:t>
      </w:r>
      <w:hyperlink r:id="r292">
        <w:r>
          <w:rPr>
            <w:rFonts w:ascii="Times New Roman" w:hAnsi="Times New Roman"/>
            <w:color w:val="006fc4"/>
            <w:sz w:val="20"/>
          </w:rPr>
          <w:t>§ 230</w:t>
        </w:r>
      </w:hyperlink>
      <w:r>
        <w:rPr>
          <w:rFonts w:ascii="Times New Roman" w:hAnsi="Times New Roman"/>
          <w:color w:val="1f1f1f"/>
          <w:sz w:val="20"/>
        </w:rPr>
        <w:t xml:space="preserve">.’ ” </w:t>
      </w:r>
      <w:hyperlink r:id="r293">
        <w:r>
          <w:rPr>
            <w:rFonts w:ascii="Times New Roman" w:hAnsi="Times New Roman"/>
            <w:i/>
            <w:color w:val="006fc4"/>
            <w:sz w:val="20"/>
          </w:rPr>
          <w:t>Chicago Lawyers' Comm. for Civil Rights Under Law</w:t>
        </w:r>
        <w:r>
          <w:rPr>
            <w:rFonts w:ascii="Times New Roman" w:hAnsi="Times New Roman"/>
            <w:color w:val="006fc4"/>
            <w:sz w:val="20"/>
          </w:rPr>
          <w:t>, 519 F.3d at 671</w:t>
        </w:r>
      </w:hyperlink>
      <w:r>
        <w:rPr>
          <w:rFonts w:ascii="Times New Roman" w:hAnsi="Times New Roman"/>
          <w:color w:val="1f1f1f"/>
          <w:sz w:val="20"/>
        </w:rPr>
        <w:t xml:space="preserve">. The Seventh Circuit acknowledged the absence of evidence that Congress considered the Fair Housing Act or the CDA's possible effect on housing discrimination when it passed the statute, but it rejected the Lawyers' Committee's contention, reasoning that, in enacting the CDA, Congress intentionally passed a general statute and that “[t]he question [wa]s not whether Congress gave any thought to the Fair Housing Act, but whether it excluded § 3604(c) [the Fair Housing Act prohibition against discrimination] from the reach of </w:t>
      </w:r>
      <w:hyperlink r:id="r294">
        <w:r>
          <w:rPr>
            <w:rFonts w:ascii="Times New Roman" w:hAnsi="Times New Roman"/>
            <w:color w:val="006fc4"/>
            <w:sz w:val="20"/>
          </w:rPr>
          <w:t>§ 230(c)(1)</w:t>
        </w:r>
      </w:hyperlink>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xml:space="preserve"> (citing </w:t>
      </w:r>
      <w:hyperlink r:id="r295">
        <w:r>
          <w:rPr>
            <w:rFonts w:ascii="Times New Roman" w:hAnsi="Times New Roman"/>
            <w:i/>
            <w:color w:val="006fc4"/>
            <w:sz w:val="20"/>
          </w:rPr>
          <w:t>Regional Rail Reorganization Act Cases</w:t>
        </w:r>
        <w:r>
          <w:rPr>
            <w:rFonts w:ascii="Times New Roman" w:hAnsi="Times New Roman"/>
            <w:color w:val="006fc4"/>
            <w:sz w:val="20"/>
          </w:rPr>
          <w:t>, 419 U.S. 102, 126-127, 95 S.Ct. 335, 42 L.Ed.2d 320 (1974)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plea for access to aural content available on the Internet is compelling. So were the claims made by the victims of sex trafficking in </w:t>
      </w:r>
      <w:r>
        <w:rPr>
          <w:rFonts w:ascii="Times New Roman" w:hAnsi="Times New Roman"/>
          <w:i/>
          <w:color w:val="1f1f1f"/>
          <w:sz w:val="20"/>
        </w:rPr>
        <w:t>Backpage.com</w:t>
      </w:r>
      <w:r>
        <w:rPr>
          <w:rFonts w:ascii="Times New Roman" w:hAnsi="Times New Roman"/>
          <w:color w:val="1f1f1f"/>
          <w:sz w:val="20"/>
        </w:rPr>
        <w:t xml:space="preserve">, as the First Circuit recognized. </w:t>
      </w:r>
      <w:hyperlink r:id="r296">
        <w:r>
          <w:rPr>
            <w:rFonts w:ascii="Times New Roman" w:hAnsi="Times New Roman"/>
            <w:i/>
            <w:color w:val="006fc4"/>
            <w:sz w:val="20"/>
          </w:rPr>
          <w:t>Backpage.com</w:t>
        </w:r>
        <w:r>
          <w:rPr>
            <w:rFonts w:ascii="Times New Roman" w:hAnsi="Times New Roman"/>
            <w:color w:val="006fc4"/>
            <w:sz w:val="20"/>
          </w:rPr>
          <w:t>, 817 F.3d at 15</w:t>
        </w:r>
      </w:hyperlink>
      <w:r>
        <w:rPr>
          <w:rFonts w:ascii="Times New Roman" w:hAnsi="Times New Roman"/>
          <w:color w:val="1f1f1f"/>
          <w:sz w:val="20"/>
        </w:rPr>
        <w:t xml:space="preserve">. Just as the plaintiffs in </w:t>
      </w:r>
      <w:r>
        <w:rPr>
          <w:rFonts w:ascii="Times New Roman" w:hAnsi="Times New Roman"/>
          <w:i/>
          <w:color w:val="1f1f1f"/>
          <w:sz w:val="20"/>
        </w:rPr>
        <w:t>Backpage.com</w:t>
      </w:r>
      <w:r>
        <w:rPr>
          <w:rFonts w:ascii="Times New Roman" w:hAnsi="Times New Roman"/>
          <w:color w:val="1f1f1f"/>
          <w:sz w:val="20"/>
        </w:rPr>
        <w:t xml:space="preserve"> could point to the Trafficking Victims Protection Reauthorization Act of 2008, </w:t>
      </w:r>
      <w:hyperlink r:id="r297">
        <w:r>
          <w:rPr>
            <w:rFonts w:ascii="Times New Roman" w:hAnsi="Times New Roman"/>
            <w:color w:val="006fc4"/>
            <w:sz w:val="20"/>
          </w:rPr>
          <w:t>18 U.S.C. §§ 1591</w:t>
        </w:r>
      </w:hyperlink>
      <w:r>
        <w:rPr>
          <w:rFonts w:ascii="Times New Roman" w:hAnsi="Times New Roman"/>
          <w:color w:val="1f1f1f"/>
          <w:sz w:val="20"/>
        </w:rPr>
        <w:t xml:space="preserve">, </w:t>
      </w:r>
      <w:hyperlink r:id="r298">
        <w:r>
          <w:rPr>
            <w:rFonts w:ascii="Times New Roman" w:hAnsi="Times New Roman"/>
            <w:color w:val="006fc4"/>
            <w:sz w:val="20"/>
          </w:rPr>
          <w:t>1595</w:t>
        </w:r>
      </w:hyperlink>
      <w:r>
        <w:rPr>
          <w:rFonts w:ascii="Times New Roman" w:hAnsi="Times New Roman"/>
          <w:color w:val="1f1f1f"/>
          <w:sz w:val="20"/>
        </w:rPr>
        <w:t xml:space="preserve">, as a congressional acknowledgement of the evils of sex trafficking and their right to protection, </w:t>
      </w:r>
      <w:hyperlink r:id="r299">
        <w:r>
          <w:rPr>
            <w:rFonts w:ascii="Times New Roman" w:hAnsi="Times New Roman"/>
            <w:i/>
            <w:color w:val="006fc4"/>
            <w:sz w:val="20"/>
          </w:rPr>
          <w:t>Backpage.com</w:t>
        </w:r>
        <w:r>
          <w:rPr>
            <w:rFonts w:ascii="Times New Roman" w:hAnsi="Times New Roman"/>
            <w:color w:val="006fc4"/>
            <w:sz w:val="20"/>
          </w:rPr>
          <w:t>, 817 F.3d at 15</w:t>
        </w:r>
      </w:hyperlink>
      <w:r>
        <w:rPr>
          <w:rFonts w:ascii="Times New Roman" w:hAnsi="Times New Roman"/>
          <w:color w:val="1f1f1f"/>
          <w:sz w:val="20"/>
        </w:rPr>
        <w:t xml:space="preserve">, Plaintiffs in the instant case can point to Section 504 and Title III as an acknowledgement of the vital importance of equal access to goods and services for individuals with disabilities, including deaf and hard of hearing individuals. As the First Circuit observed in </w:t>
      </w:r>
      <w:r>
        <w:rPr>
          <w:rFonts w:ascii="Times New Roman" w:hAnsi="Times New Roman"/>
          <w:i/>
          <w:color w:val="1f1f1f"/>
          <w:sz w:val="20"/>
        </w:rPr>
        <w:t>Backpage.com</w:t>
      </w:r>
      <w:r>
        <w:rPr>
          <w:rFonts w:ascii="Times New Roman" w:hAnsi="Times New Roman"/>
          <w:color w:val="1f1f1f"/>
          <w:sz w:val="20"/>
        </w:rPr>
        <w:t xml:space="preserve">, “[t]hese laudable legislative efforts do not fit together seamlessly, and this case reflects the tension between them.” </w:t>
      </w:r>
      <w:r>
        <w:rPr>
          <w:rFonts w:ascii="Times New Roman" w:hAnsi="Times New Roman"/>
          <w:i/>
          <w:color w:val="1f1f1f"/>
          <w:sz w:val="20"/>
        </w:rPr>
        <w:t>Id.</w:t>
      </w:r>
      <w:r>
        <w:rPr>
          <w:rFonts w:ascii="Times New Roman" w:hAnsi="Times New Roman"/>
          <w:color w:val="1f1f1f"/>
          <w:sz w:val="20"/>
        </w:rPr>
        <w:t xml:space="preserve"> In </w:t>
      </w:r>
      <w:r>
        <w:rPr>
          <w:rFonts w:ascii="Times New Roman" w:hAnsi="Times New Roman"/>
          <w:i/>
          <w:color w:val="1f1f1f"/>
          <w:sz w:val="20"/>
        </w:rPr>
        <w:t>Backpage.com</w:t>
      </w:r>
      <w:r>
        <w:rPr>
          <w:rFonts w:ascii="Times New Roman" w:hAnsi="Times New Roman"/>
          <w:color w:val="1f1f1f"/>
          <w:sz w:val="20"/>
        </w:rPr>
        <w:t xml:space="preserve">, faced with this tension, the First Circuit reaffirmed the view it expressed in </w:t>
      </w:r>
      <w:r>
        <w:rPr>
          <w:rFonts w:ascii="Times New Roman" w:hAnsi="Times New Roman"/>
          <w:i/>
          <w:color w:val="1f1f1f"/>
          <w:sz w:val="20"/>
        </w:rPr>
        <w:t>Lycos</w:t>
      </w:r>
      <w:r>
        <w:rPr>
          <w:rFonts w:ascii="Times New Roman" w:hAnsi="Times New Roman"/>
          <w:color w:val="1f1f1f"/>
          <w:sz w:val="20"/>
        </w:rPr>
        <w:t xml:space="preserve"> about the breadth of the immunity conferred by </w:t>
      </w:r>
      <w:hyperlink r:id="r300">
        <w:r>
          <w:rPr>
            <w:rFonts w:ascii="Times New Roman" w:hAnsi="Times New Roman"/>
            <w:color w:val="006fc4"/>
            <w:sz w:val="20"/>
          </w:rPr>
          <w:t>Section 230</w:t>
        </w:r>
      </w:hyperlink>
      <w:r>
        <w:rPr>
          <w:rFonts w:ascii="Times New Roman" w:hAnsi="Times New Roman"/>
          <w:color w:val="1f1f1f"/>
          <w:sz w:val="20"/>
        </w:rPr>
        <w:t>. That view, which is binding on this court, does not leave room for Plaintiffs' contention that the CDA simply does not apply to discrimination claims seeking accommodation for the disabled.</w:t>
      </w:r>
      <w:bookmarkStart w:id="203" w:name="co_fnRef_B00072047886627_ID0ESDAK_1"/>
      <w:hyperlink w:anchor="co_footnote_B00072047886627_1">
        <w:r>
          <w:rPr>
            <w:rFonts w:ascii="Times New Roman" w:hAnsi="Times New Roman"/>
            <w:color w:val="006fc4"/>
            <w:sz w:val="16"/>
            <w:vertAlign w:val="superscript"/>
          </w:rPr>
          <w:t>7</w:t>
        </w:r>
      </w:hyperlink>
      <w:bookmarkEnd w:id="203"/>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204" w:name="co_pp_sp_7903_67_1"/>
      <w:r>
        <w:rPr>
          <w:rFonts w:ascii="Times New Roman" w:hAnsi="Times New Roman"/>
          <w:b/>
          <w:color w:val="000000"/>
          <w:sz w:val="20"/>
        </w:rPr>
        <w:t>*67</w:t>
      </w:r>
      <w:bookmarkEnd w:id="204"/>
      <w:r>
        <w:rPr>
          <w:rFonts w:ascii="Times New Roman" w:hAnsi="Times New Roman"/>
          <w:color w:val="1f1f1f"/>
          <w:sz w:val="20"/>
        </w:rPr>
        <w:t xml:space="preserve"> </w:t>
      </w:r>
      <w:hyperlink w:anchor="co_hn_anchor_F212047886627_1">
        <w:r>
          <w:rPr>
            <w:rFonts w:ascii="Times New Roman" w:hAnsi="Times New Roman"/>
            <w:b/>
            <w:color w:val="252525"/>
            <w:sz w:val="20"/>
            <w:bdr w:val="none" w:space="2"/>
            <w:vertAlign w:val="superscript"/>
          </w:rPr>
          <w:t>[21]</w:t>
        </w:r>
      </w:hyperlink>
      <w:r>
        <w:rPr>
          <w:rFonts w:ascii="Times New Roman" w:hAnsi="Times New Roman"/>
          <w:color w:val="1f1f1f"/>
          <w:sz w:val="20"/>
        </w:rPr>
        <w:t xml:space="preserve">Turning to the three-part inquiry set out in </w:t>
      </w:r>
      <w:r>
        <w:rPr>
          <w:rFonts w:ascii="Times New Roman" w:hAnsi="Times New Roman"/>
          <w:i/>
          <w:color w:val="1f1f1f"/>
          <w:sz w:val="20"/>
        </w:rPr>
        <w:t>Lycos</w:t>
      </w:r>
      <w:r>
        <w:rPr>
          <w:rFonts w:ascii="Times New Roman" w:hAnsi="Times New Roman"/>
          <w:color w:val="1f1f1f"/>
          <w:sz w:val="20"/>
        </w:rPr>
        <w:t xml:space="preserve">, Plaintiffs allege that Harvard “controls, maintains and/or administers webpages, websites, and other Internet locations (‘Harvard Platforms’) on which content is made available to the general public,” (Compl. at p. 8, ¶ 28) and that Harvard's websites and platforms “enable[ ] computer access by multiple users to [the] computer server[s]” on which the content that is the subject of Plaintiffs' complaint is hosted (Compl. at p. 20, ¶¶ 63-74). Harvard acknowledges that it hosts platforms to which online content may be uploaded (Answer at pp. 2, 6, ¶¶ 2, 28). Congress chose to include educational institutions in its definition of ICS providers. </w:t>
      </w:r>
      <w:hyperlink r:id="r301">
        <w:r>
          <w:rPr>
            <w:rFonts w:ascii="Times New Roman" w:hAnsi="Times New Roman"/>
            <w:color w:val="006fc4"/>
            <w:sz w:val="20"/>
          </w:rPr>
          <w:t>47 U.S.C. § 230(f)(2)</w:t>
        </w:r>
      </w:hyperlink>
      <w:r>
        <w:rPr>
          <w:rFonts w:ascii="Times New Roman" w:hAnsi="Times New Roman"/>
          <w:color w:val="1f1f1f"/>
          <w:sz w:val="20"/>
        </w:rPr>
        <w:t xml:space="preserve">. Congress did not, as Plaintiffs suggest in passing, limit its definition of the term “interactive computer services” as that term is applied to libraries and educational institutions (Dkt. No. 147 at 19 n.23). “ ‘[W]hen [a] statute's language is plain, the sole function of the courts – at least where the disposition required by the text is not absurd – is to enforce it according to its terms.’ ” </w:t>
      </w:r>
      <w:hyperlink r:id="r302">
        <w:r>
          <w:rPr>
            <w:rFonts w:ascii="Times New Roman" w:hAnsi="Times New Roman"/>
            <w:i/>
            <w:color w:val="006fc4"/>
            <w:sz w:val="20"/>
          </w:rPr>
          <w:t>Sebelius v. Cloer</w:t>
        </w:r>
        <w:r>
          <w:rPr>
            <w:rFonts w:ascii="Times New Roman" w:hAnsi="Times New Roman"/>
            <w:color w:val="006fc4"/>
            <w:sz w:val="20"/>
          </w:rPr>
          <w:t>, 569 U.S. 369, 381, 133 S.Ct. 1886, 185 L.Ed.2d 1003 (2013)</w:t>
        </w:r>
      </w:hyperlink>
      <w:r>
        <w:rPr>
          <w:rFonts w:ascii="Times New Roman" w:hAnsi="Times New Roman"/>
          <w:color w:val="1f1f1f"/>
          <w:sz w:val="20"/>
        </w:rPr>
        <w:t xml:space="preserve"> (quoting </w:t>
      </w:r>
      <w:hyperlink r:id="r303">
        <w:r>
          <w:rPr>
            <w:rFonts w:ascii="Times New Roman" w:hAnsi="Times New Roman"/>
            <w:i/>
            <w:color w:val="006fc4"/>
            <w:sz w:val="20"/>
          </w:rPr>
          <w:t>Hartford Underwriters Ins. Co. v. Union Planters Bank, N.A.</w:t>
        </w:r>
        <w:r>
          <w:rPr>
            <w:rFonts w:ascii="Times New Roman" w:hAnsi="Times New Roman"/>
            <w:color w:val="006fc4"/>
            <w:sz w:val="20"/>
          </w:rPr>
          <w:t>, 530 U.S. 1, 6, 120 S.Ct. 1942, 147 L.Ed.2d 1 (2000)</w:t>
        </w:r>
      </w:hyperlink>
      <w:r>
        <w:rPr>
          <w:rFonts w:ascii="Times New Roman" w:hAnsi="Times New Roman"/>
          <w:color w:val="1f1f1f"/>
          <w:sz w:val="20"/>
        </w:rPr>
        <w:t xml:space="preserve">). Plaintiffs allege that Harvard hosts a vast array of online content addressing a wide range of topics. It is not absurd to treat Harvard as an ICS provider under the CDA. The pleadings and the statute support Harvard's contention that it functions as an ICS provider “within the meaning of </w:t>
      </w:r>
      <w:hyperlink r:id="r304">
        <w:r>
          <w:rPr>
            <w:rFonts w:ascii="Times New Roman" w:hAnsi="Times New Roman"/>
            <w:color w:val="006fc4"/>
            <w:sz w:val="20"/>
          </w:rPr>
          <w:t>Section 230</w:t>
        </w:r>
      </w:hyperlink>
      <w:r>
        <w:rPr>
          <w:rFonts w:ascii="Times New Roman" w:hAnsi="Times New Roman"/>
          <w:color w:val="1f1f1f"/>
          <w:sz w:val="20"/>
        </w:rPr>
        <w:t xml:space="preserve">.” </w:t>
      </w:r>
      <w:hyperlink r:id="r305">
        <w:r>
          <w:rPr>
            <w:rFonts w:ascii="Times New Roman" w:hAnsi="Times New Roman"/>
            <w:i/>
            <w:color w:val="006fc4"/>
            <w:sz w:val="20"/>
          </w:rPr>
          <w:t>Lycos</w:t>
        </w:r>
        <w:r>
          <w:rPr>
            <w:rFonts w:ascii="Times New Roman" w:hAnsi="Times New Roman"/>
            <w:color w:val="006fc4"/>
            <w:sz w:val="20"/>
          </w:rPr>
          <w:t>, 478 F.3d at 419</w:t>
        </w:r>
      </w:hyperlink>
      <w:r>
        <w:rPr>
          <w:rFonts w:ascii="Times New Roman" w:hAnsi="Times New Roman"/>
          <w:color w:val="1f1f1f"/>
          <w:sz w:val="20"/>
        </w:rPr>
        <w:t xml:space="preserve"> (a website operator is a provider of interactive computer services).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seek relief as to online content that Harvard creates and/or produces and other online content that it makes available on its websites and platforms (Compl. at p, 29). Harvard states in its answer that “in many instances it does not create or control the online content” on its platforms (Answer at p. 2, ¶ 2). To the extent Harvard provides platforms on which third parties post content that Harvard does not create, produce, or substantively alter, </w:t>
      </w:r>
      <w:r>
        <w:rPr>
          <w:rFonts w:ascii="Times New Roman" w:hAnsi="Times New Roman"/>
          <w:i/>
          <w:color w:val="1f1f1f"/>
          <w:sz w:val="20"/>
        </w:rPr>
        <w:t>see</w:t>
      </w:r>
      <w:r>
        <w:rPr>
          <w:rFonts w:ascii="Times New Roman" w:hAnsi="Times New Roman"/>
          <w:color w:val="1f1f1f"/>
          <w:sz w:val="20"/>
        </w:rPr>
        <w:t xml:space="preserve"> </w:t>
      </w:r>
      <w:hyperlink r:id="r306">
        <w:r>
          <w:rPr>
            <w:rFonts w:ascii="Times New Roman" w:hAnsi="Times New Roman"/>
            <w:i/>
            <w:color w:val="006fc4"/>
            <w:sz w:val="20"/>
          </w:rPr>
          <w:t>Doe No. 1 v. Backpage, LLC</w:t>
        </w:r>
        <w:r>
          <w:rPr>
            <w:rFonts w:ascii="Times New Roman" w:hAnsi="Times New Roman"/>
            <w:color w:val="006fc4"/>
            <w:sz w:val="20"/>
          </w:rPr>
          <w:t>, Civil Action No. 17-11069-LTS, 2018 WL 1542056, at *1 (D. Mass. March 29, 2018)</w:t>
        </w:r>
      </w:hyperlink>
      <w:r>
        <w:rPr>
          <w:rFonts w:ascii="Times New Roman" w:hAnsi="Times New Roman"/>
          <w:color w:val="1f1f1f"/>
          <w:sz w:val="20"/>
        </w:rPr>
        <w:t>, Harvard is hosting information provided by another ICP. A fair reading of the complaint is that, while Plaintiffs are seeking relief in connection with content created or produced by Harvard, they are also seeking relief as to content that is created or produced by third parties but is available on a Harvard platform or website, (Compl. at pp. 10, 11 ¶¶ 31, 36, 39), thereby satisfying the second part of the inquiry as to some undefined portion of Harvard's online content.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22047886627_1">
        <w:r>
          <w:rPr>
            <w:rFonts w:ascii="Times New Roman" w:hAnsi="Times New Roman"/>
            <w:b/>
            <w:color w:val="252525"/>
            <w:sz w:val="20"/>
            <w:bdr w:val="none" w:space="2"/>
            <w:vertAlign w:val="superscript"/>
          </w:rPr>
          <w:t>[22]</w:t>
        </w:r>
      </w:hyperlink>
      <w:r>
        <w:rPr>
          <w:rFonts w:ascii="Times New Roman" w:hAnsi="Times New Roman"/>
          <w:color w:val="1f1f1f"/>
          <w:sz w:val="20"/>
        </w:rPr>
        <w:t xml:space="preserve">Whether </w:t>
      </w:r>
      <w:hyperlink r:id="r307">
        <w:r>
          <w:rPr>
            <w:rFonts w:ascii="Times New Roman" w:hAnsi="Times New Roman"/>
            <w:color w:val="006fc4"/>
            <w:sz w:val="20"/>
          </w:rPr>
          <w:t>Section 230</w:t>
        </w:r>
      </w:hyperlink>
      <w:r>
        <w:rPr>
          <w:rFonts w:ascii="Times New Roman" w:hAnsi="Times New Roman"/>
          <w:color w:val="1f1f1f"/>
          <w:sz w:val="20"/>
        </w:rPr>
        <w:t xml:space="preserve"> applies “does not depend on the form of the asserted cause of action; rather, it depends on whether the cause of action necessarily requires that the defendant be treated as the publisher or speaker of content provided by another.” </w:t>
      </w:r>
      <w:hyperlink r:id="r308">
        <w:r>
          <w:rPr>
            <w:rFonts w:ascii="Times New Roman" w:hAnsi="Times New Roman"/>
            <w:i/>
            <w:color w:val="006fc4"/>
            <w:sz w:val="20"/>
          </w:rPr>
          <w:t>Backpage</w:t>
        </w:r>
        <w:r>
          <w:rPr>
            <w:rFonts w:ascii="Times New Roman" w:hAnsi="Times New Roman"/>
            <w:color w:val="006fc4"/>
            <w:sz w:val="20"/>
          </w:rPr>
          <w:t>, 817 F.3d at 19</w:t>
        </w:r>
      </w:hyperlink>
      <w:r>
        <w:rPr>
          <w:rFonts w:ascii="Times New Roman" w:hAnsi="Times New Roman"/>
          <w:color w:val="1f1f1f"/>
          <w:sz w:val="20"/>
        </w:rPr>
        <w:t xml:space="preserve">. To prevail on their Title III and Section 504 claims, Plaintiffs will be required to prove that Harvard discriminated against them by failing to affirmatively accommodate deaf and hard of hearing individuals where an auxiliary aid was necessary to provide such individuals with meaningful access to online content, </w:t>
      </w:r>
      <w:hyperlink r:id="r309">
        <w:r>
          <w:rPr>
            <w:rFonts w:ascii="Times New Roman" w:hAnsi="Times New Roman"/>
            <w:i/>
            <w:color w:val="006fc4"/>
            <w:sz w:val="20"/>
          </w:rPr>
          <w:t>Nat'l Assoc. of the Deaf</w:t>
        </w:r>
        <w:r>
          <w:rPr>
            <w:rFonts w:ascii="Times New Roman" w:hAnsi="Times New Roman"/>
            <w:color w:val="006fc4"/>
            <w:sz w:val="20"/>
          </w:rPr>
          <w:t>, 2016 WL 3561622, at *4</w:t>
        </w:r>
      </w:hyperlink>
      <w:r>
        <w:rPr>
          <w:rFonts w:ascii="Times New Roman" w:hAnsi="Times New Roman"/>
          <w:color w:val="1f1f1f"/>
          <w:sz w:val="20"/>
        </w:rPr>
        <w:t xml:space="preserve"> (citing </w:t>
      </w:r>
      <w:hyperlink r:id="r310">
        <w:r>
          <w:rPr>
            <w:rFonts w:ascii="Times New Roman" w:hAnsi="Times New Roman"/>
            <w:i/>
            <w:color w:val="006fc4"/>
            <w:sz w:val="20"/>
          </w:rPr>
          <w:t>Nunes</w:t>
        </w:r>
        <w:r>
          <w:rPr>
            <w:rFonts w:ascii="Times New Roman" w:hAnsi="Times New Roman"/>
            <w:color w:val="006fc4"/>
            <w:sz w:val="20"/>
          </w:rPr>
          <w:t>, 766 F.3d at 144</w:t>
        </w:r>
      </w:hyperlink>
      <w:r>
        <w:rPr>
          <w:rFonts w:ascii="Times New Roman" w:hAnsi="Times New Roman"/>
          <w:color w:val="1f1f1f"/>
          <w:sz w:val="20"/>
        </w:rPr>
        <w:t xml:space="preserve">), that is created or developed by Harvard or that is created or developed by a third party. This case is a classic auxiliary aids case, and Plaintiffs have adequately alleged liability under Title </w:t>
      </w:r>
      <w:bookmarkStart w:id="205" w:name="co_pp_sp_7903_68_1"/>
      <w:r>
        <w:rPr>
          <w:rFonts w:ascii="Times New Roman" w:hAnsi="Times New Roman"/>
          <w:b/>
          <w:color w:val="000000"/>
          <w:sz w:val="20"/>
        </w:rPr>
        <w:t>*68</w:t>
      </w:r>
      <w:bookmarkEnd w:id="205"/>
      <w:r>
        <w:rPr>
          <w:rFonts w:ascii="Times New Roman" w:hAnsi="Times New Roman"/>
          <w:color w:val="1f1f1f"/>
          <w:sz w:val="20"/>
        </w:rPr>
        <w:t xml:space="preserve"> III and Section 504. Cases decided by the First Circuit and other circuits, and Congress's decision to include educational institutions in the CDA's definition of ICS providers, however, support the conclusion that holding Harvard liable for the inaccessibility of online content created or developed by a third party when Harvard does not alter that content would impermissibly “involve treating [Harvard] ‘as the publisher’ of ‘information provided by another information content provider.’ ” </w:t>
      </w:r>
      <w:hyperlink r:id="r311">
        <w:r>
          <w:rPr>
            <w:rFonts w:ascii="Times New Roman" w:hAnsi="Times New Roman"/>
            <w:i/>
            <w:color w:val="006fc4"/>
            <w:sz w:val="20"/>
          </w:rPr>
          <w:t>Lycos</w:t>
        </w:r>
        <w:r>
          <w:rPr>
            <w:rFonts w:ascii="Times New Roman" w:hAnsi="Times New Roman"/>
            <w:color w:val="006fc4"/>
            <w:sz w:val="20"/>
          </w:rPr>
          <w:t>, 478 F.3d at 422</w:t>
        </w:r>
      </w:hyperlink>
      <w:r>
        <w:rPr>
          <w:rFonts w:ascii="Times New Roman" w:hAnsi="Times New Roman"/>
          <w:color w:val="1f1f1f"/>
          <w:sz w:val="20"/>
        </w:rPr>
        <w:t>.</w:t>
      </w:r>
      <w:bookmarkStart w:id="206" w:name="co_fnRef_B00082047886627_ID0EDPAK_1"/>
      <w:hyperlink w:anchor="co_footnote_B00082047886627_1">
        <w:r>
          <w:rPr>
            <w:rFonts w:ascii="Times New Roman" w:hAnsi="Times New Roman"/>
            <w:color w:val="006fc4"/>
            <w:sz w:val="16"/>
            <w:vertAlign w:val="superscript"/>
          </w:rPr>
          <w:t>8</w:t>
        </w:r>
      </w:hyperlink>
      <w:bookmarkEnd w:id="206"/>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That Harvard is alleged to control who can post on its websites and platforms would not divest it of </w:t>
      </w:r>
      <w:hyperlink r:id="r312">
        <w:r>
          <w:rPr>
            <w:rFonts w:ascii="Times New Roman" w:hAnsi="Times New Roman"/>
            <w:color w:val="006fc4"/>
            <w:sz w:val="20"/>
          </w:rPr>
          <w:t>Section 230</w:t>
        </w:r>
      </w:hyperlink>
      <w:r>
        <w:rPr>
          <w:rFonts w:ascii="Times New Roman" w:hAnsi="Times New Roman"/>
          <w:color w:val="1f1f1f"/>
          <w:sz w:val="20"/>
        </w:rPr>
        <w:t xml:space="preserve"> immunity. “ ‘[L]awsuits seeking to hold a service provider liable for its exercise of a publisher's traditional editorial functions – such as deciding whether to publish, withdraw, postpone or alter content – are barred.’ ” </w:t>
      </w:r>
      <w:hyperlink r:id="r313">
        <w:r>
          <w:rPr>
            <w:rFonts w:ascii="Times New Roman" w:hAnsi="Times New Roman"/>
            <w:i/>
            <w:color w:val="006fc4"/>
            <w:sz w:val="20"/>
          </w:rPr>
          <w:t>Backpage.com</w:t>
        </w:r>
        <w:r>
          <w:rPr>
            <w:rFonts w:ascii="Times New Roman" w:hAnsi="Times New Roman"/>
            <w:color w:val="006fc4"/>
            <w:sz w:val="20"/>
          </w:rPr>
          <w:t>, 817 F.3d at 18</w:t>
        </w:r>
      </w:hyperlink>
      <w:r>
        <w:rPr>
          <w:rFonts w:ascii="Times New Roman" w:hAnsi="Times New Roman"/>
          <w:color w:val="1f1f1f"/>
          <w:sz w:val="20"/>
        </w:rPr>
        <w:t xml:space="preserve"> (quoting </w:t>
      </w:r>
      <w:hyperlink r:id="r314">
        <w:r>
          <w:rPr>
            <w:rFonts w:ascii="Times New Roman" w:hAnsi="Times New Roman"/>
            <w:i/>
            <w:color w:val="006fc4"/>
            <w:sz w:val="20"/>
          </w:rPr>
          <w:t>Zeran</w:t>
        </w:r>
        <w:r>
          <w:rPr>
            <w:rFonts w:ascii="Times New Roman" w:hAnsi="Times New Roman"/>
            <w:color w:val="006fc4"/>
            <w:sz w:val="20"/>
          </w:rPr>
          <w:t>, 129 F.3d at 330</w:t>
        </w:r>
      </w:hyperlink>
      <w:r>
        <w:rPr>
          <w:rFonts w:ascii="Times New Roman" w:hAnsi="Times New Roman"/>
          <w:color w:val="1f1f1f"/>
          <w:sz w:val="20"/>
        </w:rPr>
        <w:t xml:space="preserve">). The CDA relieves ICS providers from liability when they exercise control such as “blocking and screening of third-party content.” </w:t>
      </w:r>
      <w:r>
        <w:rPr>
          <w:rFonts w:ascii="Times New Roman" w:hAnsi="Times New Roman"/>
          <w:i/>
          <w:color w:val="1f1f1f"/>
          <w:sz w:val="20"/>
        </w:rPr>
        <w:t>Id. See also</w:t>
      </w:r>
      <w:r>
        <w:rPr>
          <w:rFonts w:ascii="Times New Roman" w:hAnsi="Times New Roman"/>
          <w:color w:val="1f1f1f"/>
          <w:sz w:val="20"/>
        </w:rPr>
        <w:t xml:space="preserve"> </w:t>
      </w:r>
      <w:hyperlink r:id="r315">
        <w:r>
          <w:rPr>
            <w:rFonts w:ascii="Times New Roman" w:hAnsi="Times New Roman"/>
            <w:i/>
            <w:color w:val="006fc4"/>
            <w:sz w:val="20"/>
          </w:rPr>
          <w:t>Craigslist</w:t>
        </w:r>
        <w:r>
          <w:rPr>
            <w:rFonts w:ascii="Times New Roman" w:hAnsi="Times New Roman"/>
            <w:color w:val="006fc4"/>
            <w:sz w:val="20"/>
          </w:rPr>
          <w:t>, 519 F.3d at 669</w:t>
        </w:r>
      </w:hyperlink>
      <w:r>
        <w:rPr>
          <w:rFonts w:ascii="Times New Roman" w:hAnsi="Times New Roman"/>
          <w:color w:val="1f1f1f"/>
          <w:sz w:val="20"/>
        </w:rPr>
        <w:t xml:space="preserve"> (recognizing that </w:t>
      </w:r>
      <w:hyperlink r:id="r316">
        <w:r>
          <w:rPr>
            <w:rFonts w:ascii="Times New Roman" w:hAnsi="Times New Roman"/>
            <w:color w:val="006fc4"/>
            <w:sz w:val="20"/>
          </w:rPr>
          <w:t>Section 230</w:t>
        </w:r>
      </w:hyperlink>
      <w:r>
        <w:rPr>
          <w:rFonts w:ascii="Times New Roman" w:hAnsi="Times New Roman"/>
          <w:color w:val="1f1f1f"/>
          <w:sz w:val="20"/>
        </w:rPr>
        <w:t xml:space="preserve"> relieves ICSs from liability whether or not they filter third-party postings). In </w:t>
      </w:r>
      <w:r>
        <w:rPr>
          <w:rFonts w:ascii="Times New Roman" w:hAnsi="Times New Roman"/>
          <w:i/>
          <w:color w:val="1f1f1f"/>
          <w:sz w:val="20"/>
        </w:rPr>
        <w:t>Lycos</w:t>
      </w:r>
      <w:r>
        <w:rPr>
          <w:rFonts w:ascii="Times New Roman" w:hAnsi="Times New Roman"/>
          <w:color w:val="1f1f1f"/>
          <w:sz w:val="20"/>
        </w:rPr>
        <w:t xml:space="preserve">, the First Circuit closed the door on the argument that an ICS's control over the “construct and operation” of a website could be a basis for liability when a claim treats the ICS as the publisher of third-party content. </w:t>
      </w:r>
      <w:hyperlink r:id="r317">
        <w:r>
          <w:rPr>
            <w:rFonts w:ascii="Times New Roman" w:hAnsi="Times New Roman"/>
            <w:i/>
            <w:color w:val="006fc4"/>
            <w:sz w:val="20"/>
          </w:rPr>
          <w:t>Lycos</w:t>
        </w:r>
        <w:r>
          <w:rPr>
            <w:rFonts w:ascii="Times New Roman" w:hAnsi="Times New Roman"/>
            <w:color w:val="006fc4"/>
            <w:sz w:val="20"/>
          </w:rPr>
          <w:t>, 478 F.3d at 422</w:t>
        </w:r>
      </w:hyperlink>
      <w:r>
        <w:rPr>
          <w:rFonts w:ascii="Times New Roman" w:hAnsi="Times New Roman"/>
          <w:color w:val="1f1f1f"/>
          <w:sz w:val="20"/>
        </w:rPr>
        <w:t xml:space="preserve">. Harvard's “choices about what [third party] content can appear on [its] website[s] and in what form, are editorial choices that fall within the purview of traditional publisher functions” protected by </w:t>
      </w:r>
      <w:hyperlink r:id="r318">
        <w:r>
          <w:rPr>
            <w:rFonts w:ascii="Times New Roman" w:hAnsi="Times New Roman"/>
            <w:color w:val="006fc4"/>
            <w:sz w:val="20"/>
          </w:rPr>
          <w:t>Section 230</w:t>
        </w:r>
      </w:hyperlink>
      <w:r>
        <w:rPr>
          <w:rFonts w:ascii="Times New Roman" w:hAnsi="Times New Roman"/>
          <w:color w:val="1f1f1f"/>
          <w:sz w:val="20"/>
        </w:rPr>
        <w:t xml:space="preserve">. </w:t>
      </w:r>
      <w:hyperlink r:id="r319">
        <w:r>
          <w:rPr>
            <w:rFonts w:ascii="Times New Roman" w:hAnsi="Times New Roman"/>
            <w:i/>
            <w:color w:val="006fc4"/>
            <w:sz w:val="20"/>
          </w:rPr>
          <w:t>Backpage.com</w:t>
        </w:r>
        <w:r>
          <w:rPr>
            <w:rFonts w:ascii="Times New Roman" w:hAnsi="Times New Roman"/>
            <w:color w:val="006fc4"/>
            <w:sz w:val="20"/>
          </w:rPr>
          <w:t>, 817 F.3d at 21</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320">
        <w:r>
          <w:rPr>
            <w:rFonts w:ascii="Times New Roman" w:hAnsi="Times New Roman"/>
            <w:i/>
            <w:color w:val="006fc4"/>
            <w:sz w:val="20"/>
          </w:rPr>
          <w:t>Klayman v. Zuckerberg</w:t>
        </w:r>
        <w:r>
          <w:rPr>
            <w:rFonts w:ascii="Times New Roman" w:hAnsi="Times New Roman"/>
            <w:color w:val="006fc4"/>
            <w:sz w:val="20"/>
          </w:rPr>
          <w:t>, 753 F.3d 1354, 1358 (D.C. Cir. 2014)</w:t>
        </w:r>
      </w:hyperlink>
      <w:r>
        <w:rPr>
          <w:rFonts w:ascii="Times New Roman" w:hAnsi="Times New Roman"/>
          <w:color w:val="1f1f1f"/>
          <w:sz w:val="20"/>
        </w:rPr>
        <w:t xml:space="preserve"> (rejecting the argument that Facebook did not qualify as an ICS because it could control the content posted on its website; “[t]he short answer is that Congress did not write that additional limitation into the [CDA]”).</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32047886627_1">
        <w:r>
          <w:rPr>
            <w:rFonts w:ascii="Times New Roman" w:hAnsi="Times New Roman"/>
            <w:b/>
            <w:color w:val="252525"/>
            <w:sz w:val="20"/>
            <w:bdr w:val="none" w:space="2"/>
            <w:vertAlign w:val="superscript"/>
          </w:rPr>
          <w:t>[23]</w:t>
        </w:r>
      </w:hyperlink>
      <w:r>
        <w:rPr>
          <w:rFonts w:ascii="Times New Roman" w:hAnsi="Times New Roman"/>
          <w:color w:val="1f1f1f"/>
          <w:sz w:val="20"/>
        </w:rPr>
        <w:t xml:space="preserve"> </w:t>
      </w:r>
      <w:hyperlink w:anchor="co_hn_anchor_F242047886627_1">
        <w:r>
          <w:rPr>
            <w:rFonts w:ascii="Times New Roman" w:hAnsi="Times New Roman"/>
            <w:b/>
            <w:color w:val="252525"/>
            <w:sz w:val="20"/>
            <w:bdr w:val="none" w:space="2"/>
            <w:vertAlign w:val="superscript"/>
          </w:rPr>
          <w:t>[24]</w:t>
        </w:r>
      </w:hyperlink>
      <w:r>
        <w:rPr>
          <w:rFonts w:ascii="Times New Roman" w:hAnsi="Times New Roman"/>
          <w:color w:val="1f1f1f"/>
          <w:sz w:val="20"/>
        </w:rPr>
        <w:t xml:space="preserve"> </w:t>
      </w:r>
      <w:hyperlink w:anchor="co_hn_anchor_F252047886627_1">
        <w:r>
          <w:rPr>
            <w:rFonts w:ascii="Times New Roman" w:hAnsi="Times New Roman"/>
            <w:b/>
            <w:color w:val="252525"/>
            <w:sz w:val="20"/>
            <w:bdr w:val="none" w:space="2"/>
            <w:vertAlign w:val="superscript"/>
          </w:rPr>
          <w:t>[25]</w:t>
        </w:r>
      </w:hyperlink>
      <w:r>
        <w:rPr>
          <w:rFonts w:ascii="Times New Roman" w:hAnsi="Times New Roman"/>
          <w:color w:val="1f1f1f"/>
          <w:sz w:val="20"/>
        </w:rPr>
        <w:t xml:space="preserve">The remaining question is whether CDA immunity entitles Harvard to any relief on its motion for judgment on the pleadings. “Preemption under the Communications Decency Act is an affirmative defense, but it can still support a motion to dismiss if the statute's barrier to suit is evident from the face of the complaint.” </w:t>
      </w:r>
      <w:hyperlink r:id="r321">
        <w:r>
          <w:rPr>
            <w:rFonts w:ascii="Times New Roman" w:hAnsi="Times New Roman"/>
            <w:i/>
            <w:color w:val="006fc4"/>
            <w:sz w:val="20"/>
          </w:rPr>
          <w:t>Id.</w:t>
        </w:r>
        <w:r>
          <w:rPr>
            <w:rFonts w:ascii="Times New Roman" w:hAnsi="Times New Roman"/>
            <w:color w:val="006fc4"/>
            <w:sz w:val="20"/>
          </w:rPr>
          <w:t xml:space="preserve"> at 1357</w:t>
        </w:r>
      </w:hyperlink>
      <w:r>
        <w:rPr>
          <w:rFonts w:ascii="Times New Roman" w:hAnsi="Times New Roman"/>
          <w:color w:val="1f1f1f"/>
          <w:sz w:val="20"/>
        </w:rPr>
        <w:t xml:space="preserve"> (citing </w:t>
      </w:r>
      <w:hyperlink r:id="r322">
        <w:r>
          <w:rPr>
            <w:rFonts w:ascii="Times New Roman" w:hAnsi="Times New Roman"/>
            <w:i/>
            <w:color w:val="006fc4"/>
            <w:sz w:val="20"/>
          </w:rPr>
          <w:t>Jones v. Bock</w:t>
        </w:r>
        <w:r>
          <w:rPr>
            <w:rFonts w:ascii="Times New Roman" w:hAnsi="Times New Roman"/>
            <w:color w:val="006fc4"/>
            <w:sz w:val="20"/>
          </w:rPr>
          <w:t>, 549 U.S. 199, 215, 127 S.Ct. 910, 166 L.Ed.2d 798 (2007)</w:t>
        </w:r>
      </w:hyperlink>
      <w:r>
        <w:rPr>
          <w:rFonts w:ascii="Times New Roman" w:hAnsi="Times New Roman"/>
          <w:color w:val="1f1f1f"/>
          <w:sz w:val="20"/>
        </w:rPr>
        <w:t xml:space="preserve">; </w:t>
      </w:r>
      <w:hyperlink r:id="r323">
        <w:r>
          <w:rPr>
            <w:rFonts w:ascii="Times New Roman" w:hAnsi="Times New Roman"/>
            <w:i/>
            <w:color w:val="006fc4"/>
            <w:sz w:val="20"/>
          </w:rPr>
          <w:t>Jones v. Horne</w:t>
        </w:r>
        <w:r>
          <w:rPr>
            <w:rFonts w:ascii="Times New Roman" w:hAnsi="Times New Roman"/>
            <w:color w:val="006fc4"/>
            <w:sz w:val="20"/>
          </w:rPr>
          <w:t>, 634 F.3d 588, 600 (D.C. Cir. 2011)</w:t>
        </w:r>
      </w:hyperlink>
      <w:r>
        <w:rPr>
          <w:rFonts w:ascii="Times New Roman" w:hAnsi="Times New Roman"/>
          <w:color w:val="1f1f1f"/>
          <w:sz w:val="20"/>
        </w:rPr>
        <w:t xml:space="preserve">). “Where a court grants a </w:t>
      </w:r>
      <w:hyperlink r:id="r324">
        <w:r>
          <w:rPr>
            <w:rFonts w:ascii="Times New Roman" w:hAnsi="Times New Roman"/>
            <w:color w:val="006fc4"/>
            <w:sz w:val="20"/>
          </w:rPr>
          <w:t>Rule 12(b)(6) or Rule 12(c)</w:t>
        </w:r>
      </w:hyperlink>
      <w:r>
        <w:rPr>
          <w:rFonts w:ascii="Times New Roman" w:hAnsi="Times New Roman"/>
          <w:color w:val="1f1f1f"/>
          <w:sz w:val="20"/>
        </w:rPr>
        <w:t xml:space="preserve"> motion based on an affirmative defense, the facts establishing that defense must: (1) be ‘definitively ascertainable from the complaint and other allowable sources of information,’ and (2) ‘suffice to establish the affirmative defense with certitude.’ ” </w:t>
      </w:r>
      <w:hyperlink r:id="r325">
        <w:r>
          <w:rPr>
            <w:rFonts w:ascii="Times New Roman" w:hAnsi="Times New Roman"/>
            <w:i/>
            <w:color w:val="006fc4"/>
            <w:sz w:val="20"/>
          </w:rPr>
          <w:t>Gray v. Evercore Restructuring L.L.C.</w:t>
        </w:r>
        <w:r>
          <w:rPr>
            <w:rFonts w:ascii="Times New Roman" w:hAnsi="Times New Roman"/>
            <w:color w:val="006fc4"/>
            <w:sz w:val="20"/>
          </w:rPr>
          <w:t>, 544 F.3d 320, 324 (1st Cir. 2008)</w:t>
        </w:r>
      </w:hyperlink>
      <w:r>
        <w:rPr>
          <w:rFonts w:ascii="Times New Roman" w:hAnsi="Times New Roman"/>
          <w:color w:val="1f1f1f"/>
          <w:sz w:val="20"/>
        </w:rPr>
        <w:t xml:space="preserve"> (quoting </w:t>
      </w:r>
      <w:hyperlink r:id="r326">
        <w:r>
          <w:rPr>
            <w:rFonts w:ascii="Times New Roman" w:hAnsi="Times New Roman"/>
            <w:i/>
            <w:color w:val="006fc4"/>
            <w:sz w:val="20"/>
          </w:rPr>
          <w:t>Nisselson v. Lernout</w:t>
        </w:r>
        <w:r>
          <w:rPr>
            <w:rFonts w:ascii="Times New Roman" w:hAnsi="Times New Roman"/>
            <w:color w:val="006fc4"/>
            <w:sz w:val="20"/>
          </w:rPr>
          <w:t>, 469 F.3d 143, 150 (1st Cir. 2006)</w:t>
        </w:r>
      </w:hyperlink>
      <w:r>
        <w:rPr>
          <w:rFonts w:ascii="Times New Roman" w:hAnsi="Times New Roman"/>
          <w:color w:val="1f1f1f"/>
          <w:sz w:val="20"/>
        </w:rPr>
        <w:t xml:space="preserve">). A plaintiff is “not required to anticipate and plead around affirmative defenses raised by [a defendant].” </w:t>
      </w:r>
      <w:hyperlink r:id="r327">
        <w:r>
          <w:rPr>
            <w:rFonts w:ascii="Times New Roman" w:hAnsi="Times New Roman"/>
            <w:i/>
            <w:color w:val="006fc4"/>
            <w:sz w:val="20"/>
          </w:rPr>
          <w:t>Dennett v. Archuleta</w:t>
        </w:r>
        <w:r>
          <w:rPr>
            <w:rFonts w:ascii="Times New Roman" w:hAnsi="Times New Roman"/>
            <w:color w:val="006fc4"/>
            <w:sz w:val="20"/>
          </w:rPr>
          <w:t>, 982 F.Supp.2d 166, 169 (D.R.I. 2013)</w:t>
        </w:r>
      </w:hyperlink>
      <w:r>
        <w:rPr>
          <w:rFonts w:ascii="Times New Roman" w:hAnsi="Times New Roman"/>
          <w:color w:val="1f1f1f"/>
          <w:sz w:val="20"/>
        </w:rPr>
        <w:t xml:space="preserve"> (citing </w:t>
      </w:r>
      <w:hyperlink r:id="r328">
        <w:r>
          <w:rPr>
            <w:rFonts w:ascii="Times New Roman" w:hAnsi="Times New Roman"/>
            <w:i/>
            <w:color w:val="006fc4"/>
            <w:sz w:val="20"/>
          </w:rPr>
          <w:t>Gomez v. Toledo</w:t>
        </w:r>
        <w:r>
          <w:rPr>
            <w:rFonts w:ascii="Times New Roman" w:hAnsi="Times New Roman"/>
            <w:color w:val="006fc4"/>
            <w:sz w:val="20"/>
          </w:rPr>
          <w:t>, 446 U.S. 635, 640, 100 S.Ct. 1920, 64 L.Ed.2d 572 (1980)</w:t>
        </w:r>
      </w:hyperlink>
      <w:r>
        <w:rPr>
          <w:rFonts w:ascii="Times New Roman" w:hAnsi="Times New Roman"/>
          <w:color w:val="1f1f1f"/>
          <w:sz w:val="20"/>
        </w:rPr>
        <w:t xml:space="preserve">). Harvard asks for partial judgment on the pleadings on the basis of </w:t>
      </w:r>
      <w:hyperlink r:id="r329">
        <w:r>
          <w:rPr>
            <w:rFonts w:ascii="Times New Roman" w:hAnsi="Times New Roman"/>
            <w:color w:val="006fc4"/>
            <w:sz w:val="20"/>
          </w:rPr>
          <w:t>Section 230</w:t>
        </w:r>
      </w:hyperlink>
      <w:r>
        <w:rPr>
          <w:rFonts w:ascii="Times New Roman" w:hAnsi="Times New Roman"/>
          <w:color w:val="1f1f1f"/>
          <w:sz w:val="20"/>
        </w:rPr>
        <w:t xml:space="preserve"> immunity as to third-party content that Harvard hosts</w:t>
      </w:r>
      <w:bookmarkStart w:id="207" w:name="co_fnRef_B00092047886627_ID0ES2AK_1"/>
      <w:hyperlink w:anchor="co_footnote_B00092047886627_1">
        <w:r>
          <w:rPr>
            <w:rFonts w:ascii="Times New Roman" w:hAnsi="Times New Roman"/>
            <w:color w:val="006fc4"/>
            <w:sz w:val="16"/>
            <w:vertAlign w:val="superscript"/>
          </w:rPr>
          <w:t>9</w:t>
        </w:r>
      </w:hyperlink>
      <w:bookmarkEnd w:id="207"/>
      <w:r>
        <w:rPr>
          <w:rFonts w:ascii="Times New Roman" w:hAnsi="Times New Roman"/>
          <w:color w:val="1f1f1f"/>
          <w:sz w:val="20"/>
        </w:rPr>
        <w:t xml:space="preserve"> and content </w:t>
      </w:r>
      <w:bookmarkStart w:id="208" w:name="co_pp_sp_7903_69_1"/>
      <w:r>
        <w:rPr>
          <w:rFonts w:ascii="Times New Roman" w:hAnsi="Times New Roman"/>
          <w:b/>
          <w:color w:val="000000"/>
          <w:sz w:val="20"/>
        </w:rPr>
        <w:t>*69</w:t>
      </w:r>
      <w:bookmarkEnd w:id="208"/>
      <w:r>
        <w:rPr>
          <w:rFonts w:ascii="Times New Roman" w:hAnsi="Times New Roman"/>
          <w:color w:val="1f1f1f"/>
          <w:sz w:val="20"/>
        </w:rPr>
        <w:t xml:space="preserve"> embedded in Harvard's audiovisual content that is hosted elsewhere on the Internet.</w:t>
      </w:r>
      <w:bookmarkStart w:id="209" w:name="co_fnRef_B00102047886627_ID0E52AK_1"/>
      <w:hyperlink w:anchor="co_footnote_B00102047886627_1">
        <w:r>
          <w:rPr>
            <w:rFonts w:ascii="Times New Roman" w:hAnsi="Times New Roman"/>
            <w:color w:val="006fc4"/>
            <w:sz w:val="16"/>
            <w:vertAlign w:val="superscript"/>
          </w:rPr>
          <w:t>10</w:t>
        </w:r>
      </w:hyperlink>
      <w:bookmarkEnd w:id="209"/>
      <w:r>
        <w:rPr>
          <w:rFonts w:ascii="Times New Roman" w:hAnsi="Times New Roman"/>
          <w:color w:val="1f1f1f"/>
          <w:sz w:val="20"/>
        </w:rPr>
        <w:t xml:space="preserve"> Harvard defines third-party content that it hosts – as opposed to creates or develops or that is embedded – to include content posted by students, individual faculty members, and other scholars (Dkt. No. 141 at 6). Plaintiffs contend that Harvard is entitled to no relief because the complaint adequately alleges that all content posted on Harvard's websites, webpages and other platforms is “Harvard's Online Content” and that Harvard is not entitled to CDA immunity for online content created by individuals such as faculty members and students who are closely associated with Harvard (Dkt. No. 147 at 17-18).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With one exception addressed below, Harvard's invocation of CDA immunity is premature. Plaintiffs, who were not required to anticipate Harvard's affirmative CDA immunity defense in their complaint, have broadly alleged that Harvard is responsible for the content that is hosted on its websites and platforms (e.g., Compl. at pp. 8, 11, 15, ¶¶ 28, 33, 48). As Plaintiffs point out, Harvard seeks immunity from liability for a “vast array of content” that is wholly undefined in the record before the court (Dkt. No. 147 at 20). The court cannot determine as a matter of law that Harvard is not in some measure a content provider as to information on its platforms that originates with students, faculty members, or other scholars. </w:t>
      </w:r>
      <w:r>
        <w:rPr>
          <w:rFonts w:ascii="Times New Roman" w:hAnsi="Times New Roman"/>
          <w:i/>
          <w:color w:val="1f1f1f"/>
          <w:sz w:val="20"/>
        </w:rPr>
        <w:t>See, e.g.,</w:t>
      </w:r>
      <w:r>
        <w:rPr>
          <w:rFonts w:ascii="Times New Roman" w:hAnsi="Times New Roman"/>
          <w:color w:val="1f1f1f"/>
          <w:sz w:val="20"/>
        </w:rPr>
        <w:t xml:space="preserve"> </w:t>
      </w:r>
      <w:hyperlink r:id="r330">
        <w:r>
          <w:rPr>
            <w:rFonts w:ascii="Times New Roman" w:hAnsi="Times New Roman"/>
            <w:i/>
            <w:color w:val="006fc4"/>
            <w:sz w:val="20"/>
          </w:rPr>
          <w:t>Blackstone Realty LLC v. Fed. Deposit Ins. Co.</w:t>
        </w:r>
        <w:r>
          <w:rPr>
            <w:rFonts w:ascii="Times New Roman" w:hAnsi="Times New Roman"/>
            <w:color w:val="006fc4"/>
            <w:sz w:val="20"/>
          </w:rPr>
          <w:t>, 244 F.3d 193, 197 (1st Cir. 2001)</w:t>
        </w:r>
      </w:hyperlink>
      <w:r>
        <w:rPr>
          <w:rFonts w:ascii="Times New Roman" w:hAnsi="Times New Roman"/>
          <w:color w:val="1f1f1f"/>
          <w:sz w:val="20"/>
        </w:rPr>
        <w:t xml:space="preserve"> (stating that, “for dismissal to be allowed on the basis of an affirmative defense, the facts establishing the defense must be clear ‘on the face of the plaintiffs' pleadings’ ” (quoting </w:t>
      </w:r>
      <w:hyperlink r:id="r331">
        <w:r>
          <w:rPr>
            <w:rFonts w:ascii="Times New Roman" w:hAnsi="Times New Roman"/>
            <w:i/>
            <w:color w:val="006fc4"/>
            <w:sz w:val="20"/>
          </w:rPr>
          <w:t>Aldahonda-Rivera v. Parke Davis &amp; Co.</w:t>
        </w:r>
        <w:r>
          <w:rPr>
            <w:rFonts w:ascii="Times New Roman" w:hAnsi="Times New Roman"/>
            <w:color w:val="006fc4"/>
            <w:sz w:val="20"/>
          </w:rPr>
          <w:t>, 882 F.2d 590, 591 (1st Cir. 1989)</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332">
        <w:r>
          <w:rPr>
            <w:rFonts w:ascii="Times New Roman" w:hAnsi="Times New Roman"/>
            <w:color w:val="006fc4"/>
            <w:sz w:val="20"/>
          </w:rPr>
          <w:t>47 U.S.C. § 230(f)(3)</w:t>
        </w:r>
      </w:hyperlink>
      <w:r>
        <w:rPr>
          <w:rFonts w:ascii="Times New Roman" w:hAnsi="Times New Roman"/>
          <w:color w:val="1f1f1f"/>
          <w:sz w:val="20"/>
        </w:rPr>
        <w:t xml:space="preserve"> (defining an information content provider as “any person or entity that is responsible, in whole or in part, for the creation or development of information provided through the Internet or any other interactive computer service”).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62047886627_1">
        <w:r>
          <w:rPr>
            <w:rFonts w:ascii="Times New Roman" w:hAnsi="Times New Roman"/>
            <w:b/>
            <w:color w:val="252525"/>
            <w:sz w:val="20"/>
            <w:bdr w:val="none" w:space="2"/>
            <w:vertAlign w:val="superscript"/>
          </w:rPr>
          <w:t>[26]</w:t>
        </w:r>
      </w:hyperlink>
      <w:r>
        <w:rPr>
          <w:rFonts w:ascii="Times New Roman" w:hAnsi="Times New Roman"/>
          <w:color w:val="1f1f1f"/>
          <w:sz w:val="20"/>
        </w:rPr>
        <w:t xml:space="preserve">Even at this stage, however, it is apparent that the CDA will shield Harvard from liability for offending content (i.e., content that is uncaptioned or is otherwise inaccessible to a deaf or hard of hearing individual) that is merely embedded within online content produced or created by Harvard, however “Harvard” is defined for these purposes. By definition, embedded content is content hosted on a third-party server that is hyperlinked in its existing form to content that is hosted on a Harvard platform or website. </w:t>
      </w:r>
      <w:r>
        <w:rPr>
          <w:rFonts w:ascii="Times New Roman" w:hAnsi="Times New Roman"/>
          <w:i/>
          <w:color w:val="1f1f1f"/>
          <w:sz w:val="20"/>
        </w:rPr>
        <w:t>See</w:t>
      </w:r>
      <w:r>
        <w:rPr>
          <w:rFonts w:ascii="Times New Roman" w:hAnsi="Times New Roman"/>
          <w:color w:val="1f1f1f"/>
          <w:sz w:val="20"/>
        </w:rPr>
        <w:t xml:space="preserve"> </w:t>
      </w:r>
      <w:hyperlink r:id="r333">
        <w:r>
          <w:rPr>
            <w:rFonts w:ascii="Times New Roman" w:hAnsi="Times New Roman"/>
            <w:i/>
            <w:color w:val="006fc4"/>
            <w:sz w:val="20"/>
          </w:rPr>
          <w:t>Goldman</w:t>
        </w:r>
        <w:r>
          <w:rPr>
            <w:rFonts w:ascii="Times New Roman" w:hAnsi="Times New Roman"/>
            <w:color w:val="006fc4"/>
            <w:sz w:val="20"/>
          </w:rPr>
          <w:t>, 302 F.Supp.3d at 587</w:t>
        </w:r>
      </w:hyperlink>
      <w:r>
        <w:rPr>
          <w:rFonts w:ascii="Times New Roman" w:hAnsi="Times New Roman"/>
          <w:color w:val="1f1f1f"/>
          <w:sz w:val="20"/>
        </w:rPr>
        <w:t xml:space="preserve">. To the extent such content is not content that was created or developed in whole or in part by Harvard, Harvard cannot be an information content provider as to embedded content. </w:t>
      </w:r>
      <w:r>
        <w:rPr>
          <w:rFonts w:ascii="Times New Roman" w:hAnsi="Times New Roman"/>
          <w:i/>
          <w:color w:val="1f1f1f"/>
          <w:sz w:val="20"/>
        </w:rPr>
        <w:t>See</w:t>
      </w:r>
      <w:r>
        <w:rPr>
          <w:rFonts w:ascii="Times New Roman" w:hAnsi="Times New Roman"/>
          <w:color w:val="1f1f1f"/>
          <w:sz w:val="20"/>
        </w:rPr>
        <w:t xml:space="preserve"> </w:t>
      </w:r>
      <w:hyperlink r:id="r334">
        <w:r>
          <w:rPr>
            <w:rFonts w:ascii="Times New Roman" w:hAnsi="Times New Roman"/>
            <w:color w:val="006fc4"/>
            <w:sz w:val="20"/>
          </w:rPr>
          <w:t>47 U.S.C. § 230(f)(3)</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335">
        <w:r>
          <w:rPr>
            <w:rFonts w:ascii="Times New Roman" w:hAnsi="Times New Roman"/>
            <w:i/>
            <w:color w:val="006fc4"/>
            <w:sz w:val="20"/>
          </w:rPr>
          <w:t>Small Justice, LLC</w:t>
        </w:r>
        <w:r>
          <w:rPr>
            <w:rFonts w:ascii="Times New Roman" w:hAnsi="Times New Roman"/>
            <w:color w:val="006fc4"/>
            <w:sz w:val="20"/>
          </w:rPr>
          <w:t>, 873 F.3d at 322</w:t>
        </w:r>
      </w:hyperlink>
      <w:r>
        <w:rPr>
          <w:rFonts w:ascii="Times New Roman" w:hAnsi="Times New Roman"/>
          <w:color w:val="1f1f1f"/>
          <w:sz w:val="20"/>
        </w:rPr>
        <w:t xml:space="preserve"> (concluding that, where the defendant did not alter the content posted by the third party, </w:t>
      </w:r>
      <w:bookmarkStart w:id="210" w:name="co_pp_sp_7903_70_1"/>
      <w:r>
        <w:rPr>
          <w:rFonts w:ascii="Times New Roman" w:hAnsi="Times New Roman"/>
          <w:b/>
          <w:color w:val="000000"/>
          <w:sz w:val="20"/>
        </w:rPr>
        <w:t>*70</w:t>
      </w:r>
      <w:bookmarkEnd w:id="210"/>
      <w:r>
        <w:rPr>
          <w:rFonts w:ascii="Times New Roman" w:hAnsi="Times New Roman"/>
          <w:color w:val="1f1f1f"/>
          <w:sz w:val="20"/>
        </w:rPr>
        <w:t xml:space="preserve"> the defendant could not “be said to have been ‘responsible for ... create[ing] or develop[ing]’ that content by reason of having actually authored it, whether in whole or in part”). Even if Plaintiffs can show that the construction and operation of Harvard's platforms and websites limit in some way the content that can be embedded in postings on Harvard's platforms and websites, Harvard would remain a publisher under the CDA as to embedded content. </w:t>
      </w:r>
      <w:r>
        <w:rPr>
          <w:rFonts w:ascii="Times New Roman" w:hAnsi="Times New Roman"/>
          <w:i/>
          <w:color w:val="1f1f1f"/>
          <w:sz w:val="20"/>
        </w:rPr>
        <w:t>See</w:t>
      </w:r>
      <w:r>
        <w:rPr>
          <w:rFonts w:ascii="Times New Roman" w:hAnsi="Times New Roman"/>
          <w:color w:val="1f1f1f"/>
          <w:sz w:val="20"/>
        </w:rPr>
        <w:t xml:space="preserve"> </w:t>
      </w:r>
      <w:hyperlink r:id="r336">
        <w:r>
          <w:rPr>
            <w:rFonts w:ascii="Times New Roman" w:hAnsi="Times New Roman"/>
            <w:i/>
            <w:color w:val="006fc4"/>
            <w:sz w:val="20"/>
          </w:rPr>
          <w:t>Backpage.com</w:t>
        </w:r>
        <w:r>
          <w:rPr>
            <w:rFonts w:ascii="Times New Roman" w:hAnsi="Times New Roman"/>
            <w:color w:val="006fc4"/>
            <w:sz w:val="20"/>
          </w:rPr>
          <w:t>, 817 F.3d at 20</w:t>
        </w:r>
      </w:hyperlink>
      <w:r>
        <w:rPr>
          <w:rFonts w:ascii="Times New Roman" w:hAnsi="Times New Roman"/>
          <w:color w:val="1f1f1f"/>
          <w:sz w:val="20"/>
        </w:rPr>
        <w:t xml:space="preserve">. Where Harvard or someone associated with Harvard is embedding a third party's content that Harvard or someone associated with Harvard did not create or develop in whole or in part – in other words, is publishing a third party's content – Harvard is entitled to CDA immunity, </w:t>
      </w:r>
      <w:r>
        <w:rPr>
          <w:rFonts w:ascii="Times New Roman" w:hAnsi="Times New Roman"/>
          <w:i/>
          <w:color w:val="1f1f1f"/>
          <w:sz w:val="20"/>
        </w:rPr>
        <w:t>see</w:t>
      </w:r>
      <w:r>
        <w:rPr>
          <w:rFonts w:ascii="Times New Roman" w:hAnsi="Times New Roman"/>
          <w:color w:val="1f1f1f"/>
          <w:sz w:val="20"/>
        </w:rPr>
        <w:t xml:space="preserve"> </w:t>
      </w:r>
      <w:hyperlink r:id="r337">
        <w:r>
          <w:rPr>
            <w:rFonts w:ascii="Times New Roman" w:hAnsi="Times New Roman"/>
            <w:i/>
            <w:color w:val="006fc4"/>
            <w:sz w:val="20"/>
          </w:rPr>
          <w:t>id.</w:t>
        </w:r>
        <w:r>
          <w:rPr>
            <w:rFonts w:ascii="Times New Roman" w:hAnsi="Times New Roman"/>
            <w:color w:val="006fc4"/>
            <w:sz w:val="20"/>
          </w:rPr>
          <w:t xml:space="preserve"> at 20-23</w:t>
        </w:r>
      </w:hyperlink>
      <w:r>
        <w:rPr>
          <w:rFonts w:ascii="Times New Roman" w:hAnsi="Times New Roman"/>
          <w:color w:val="1f1f1f"/>
          <w:sz w:val="20"/>
        </w:rPr>
        <w:t xml:space="preserve">, and to judgment on the pleadings as to this aspect of Plaintiffs' claims. </w:t>
      </w:r>
      <w:r>
        <w:rPr>
          <w:rFonts w:ascii="Times New Roman" w:hAnsi="Times New Roman"/>
          <w:i/>
          <w:color w:val="1f1f1f"/>
          <w:sz w:val="20"/>
        </w:rPr>
        <w:t>See</w:t>
      </w:r>
      <w:r>
        <w:rPr>
          <w:rFonts w:ascii="Times New Roman" w:hAnsi="Times New Roman"/>
          <w:color w:val="1f1f1f"/>
          <w:sz w:val="20"/>
        </w:rPr>
        <w:t xml:space="preserve"> </w:t>
      </w:r>
      <w:hyperlink r:id="r338">
        <w:r>
          <w:rPr>
            <w:rFonts w:ascii="Times New Roman" w:hAnsi="Times New Roman"/>
            <w:i/>
            <w:color w:val="006fc4"/>
            <w:sz w:val="20"/>
          </w:rPr>
          <w:t>Klayman</w:t>
        </w:r>
        <w:r>
          <w:rPr>
            <w:rFonts w:ascii="Times New Roman" w:hAnsi="Times New Roman"/>
            <w:color w:val="006fc4"/>
            <w:sz w:val="20"/>
          </w:rPr>
          <w:t>, 753 F.3d at 1357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211" w:name="co_anchor_I8dd96b612db911ee894ea066ce69"/>
    <w:bookmarkStart w:id="212" w:name="co_anchor_I8dd96b612db911ee894ea066c2"/>
    <w:p>
      <w:pPr>
        <w:pBdr>
          <w:left w:val="none" w:space="10"/>
        </w:pBdr>
        <w:spacing w:before="400" w:after="0" w:line="275" w:lineRule="atLeast"/>
        <w:ind w:left="200" w:right="0" w:firstLine="0"/>
      </w:pPr>
      <w:r>
        <w:rPr>
          <w:rFonts w:ascii="Times New Roman" w:hAnsi="Times New Roman"/>
          <w:color w:val="1f1f1f"/>
          <w:sz w:val="20"/>
        </w:rPr>
        <w:t>III. Conclusion</w:t>
      </w:r>
    </w:p>
    <w:bookmarkEnd w:id="212"/>
    <w:bookmarkEnd w:id="211"/>
    <w:p>
      <w:pPr>
        <w:spacing w:before="0" w:after="0" w:line="275" w:lineRule="atLeast"/>
        <w:jc w:val="both"/>
      </w:pPr>
      <w:r>
        <w:rPr>
          <w:rFonts w:ascii="Times New Roman" w:hAnsi="Times New Roman"/>
          <w:color w:val="1f1f1f"/>
          <w:sz w:val="20"/>
        </w:rPr>
        <w:t>For the foregoing reasons, the court DENIES in part and GRANTS in part Harvard's Motion for Judgment on the Pleadings.</w:t>
      </w:r>
    </w:p>
    <w:p>
      <w:pPr>
        <w:spacing w:before="0" w:after="0" w:line="275" w:lineRule="atLeast"/>
        <w:jc w:val="both"/>
      </w:pPr>
      <w:r>
        <w:rPr>
          <w:rFonts w:ascii="Times New Roman" w:hAnsi="Times New Roman"/>
          <w:color w:val="1f1f1f"/>
          <w:sz w:val="20"/>
        </w:rPr>
        <w:t> </w:t>
      </w:r>
    </w:p>
    <w:bookmarkStart w:id="213" w:name="co_allCitations_1"/>
    <w:p>
      <w:pPr>
        <w:keepNext/>
        <w:keepLines/>
        <w:spacing w:before="200" w:after="0" w:line="275" w:lineRule="atLeast"/>
        <w:jc w:val="both"/>
      </w:pPr>
      <w:r>
        <w:rPr>
          <w:rFonts w:ascii="Times New Roman" w:hAnsi="Times New Roman"/>
          <w:b/>
          <w:color w:val="212121"/>
          <w:sz w:val="20"/>
        </w:rPr>
        <w:t>All Citations</w:t>
      </w:r>
    </w:p>
    <w:bookmarkEnd w:id="213"/>
    <w:p>
      <w:pPr>
        <w:spacing w:before="200" w:after="0" w:line="275" w:lineRule="atLeast"/>
        <w:jc w:val="both"/>
      </w:pPr>
      <w:r>
        <w:rPr>
          <w:rFonts w:ascii="Times New Roman" w:hAnsi="Times New Roman"/>
          <w:color w:val="1f1f1f"/>
          <w:sz w:val="20"/>
        </w:rPr>
        <w:t>377 F.Supp.3d 49, 59 NDLR P 18</w:t>
      </w:r>
    </w:p>
    <w:p>
      <w:pPr>
        <w:spacing w:before="0" w:after="0" w:line="240" w:lineRule="auto"/>
        <w:rPr>
          <w:sz w:val="60"/>
        </w:rPr>
      </w:pPr>
    </w:p>
    <w:tbl>
      <w:tblPr>
        <w:tblLayout w:type="fixed"/>
      </w:tblPr>
      <w:tblGrid>
        <w:gridCol w:w="600"/>
        <w:gridCol w:w="9450"/>
      </w:tblGrid>
      <w:bookmarkStart w:id="214" w:name="co_footnoteSection_1"/>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1f1f1f"/>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1f1f1f"/>
                <w:sz w:val="22"/>
              </w:rPr>
            </w:pPr>
          </w:p>
        </w:tc>
      </w:tr>
      <w:bookmarkEnd w:id="214"/>
      <w:tr>
        <w:tblPrEx/>
        <w:trPr/>
        <w:tc>
          <w:tcPr>
            <w:vAlign w:val="top"/>
          </w:tcPr>
          <w:p>
            <w:pPr>
              <w:spacing w:before="0" w:after="0" w:line="275" w:lineRule="atLeast"/>
            </w:pPr>
            <w:bookmarkStart w:id="215" w:name="co_footnote_B00012047886627_1"/>
            <w:hyperlink w:anchor="co_fnRef_B00012047886627_ID0EU3BG_1">
              <w:r>
                <w:rPr>
                  <w:rFonts w:ascii="Times New Roman" w:hAnsi="Times New Roman"/>
                  <w:color w:val="006fc4"/>
                  <w:sz w:val="20"/>
                  <w:vertAlign w:val="superscript"/>
                </w:rPr>
                <w:t>1</w:t>
              </w:r>
            </w:hyperlink>
            <w:bookmarkEnd w:id="215"/>
          </w:p>
        </w:tc>
        <w:tc>
          <w:tcPr>
            <w:vAlign w:val="top"/>
          </w:tcPr>
          <w:p>
            <w:pPr>
              <w:pBdr>
                <w:bottom w:val="none" w:space="8"/>
              </w:pBdr>
              <w:spacing w:before="0" w:after="0" w:line="275" w:lineRule="atLeast"/>
              <w:jc w:val="both"/>
            </w:pPr>
            <w:r>
              <w:rPr>
                <w:rFonts w:ascii="Times New Roman" w:hAnsi="Times New Roman"/>
                <w:color w:val="1f1f1f"/>
                <w:sz w:val="20"/>
              </w:rPr>
              <w:t>On March 16, 2016, the court was notified of the death of Diane Nettles, one of the original individual plaintiffs (Dkt. No. 57).</w:t>
            </w:r>
          </w:p>
        </w:tc>
      </w:tr>
      <w:tr>
        <w:tblPrEx/>
        <w:trPr/>
        <w:tc>
          <w:tcPr>
            <w:vAlign w:val="top"/>
          </w:tcPr>
          <w:p>
            <w:pPr>
              <w:spacing w:before="0" w:after="0" w:line="275" w:lineRule="atLeast"/>
            </w:pPr>
            <w:bookmarkStart w:id="216" w:name="co_footnote_B00022047886627_1"/>
            <w:hyperlink w:anchor="co_fnRef_B00022047886627_ID0EV4BG_1">
              <w:r>
                <w:rPr>
                  <w:rFonts w:ascii="Times New Roman" w:hAnsi="Times New Roman"/>
                  <w:color w:val="006fc4"/>
                  <w:sz w:val="20"/>
                  <w:vertAlign w:val="superscript"/>
                </w:rPr>
                <w:t>2</w:t>
              </w:r>
            </w:hyperlink>
            <w:bookmarkEnd w:id="216"/>
          </w:p>
        </w:tc>
        <w:tc>
          <w:tcPr>
            <w:vAlign w:val="top"/>
          </w:tcPr>
          <w:p>
            <w:pPr>
              <w:pBdr>
                <w:bottom w:val="none" w:space="8"/>
              </w:pBdr>
              <w:spacing w:before="0" w:after="0" w:line="275" w:lineRule="atLeast"/>
              <w:jc w:val="both"/>
            </w:pPr>
            <w:r>
              <w:rPr>
                <w:rFonts w:ascii="Times New Roman" w:hAnsi="Times New Roman"/>
                <w:color w:val="1f1f1f"/>
                <w:sz w:val="20"/>
              </w:rPr>
              <w:t>Plaintiffs' complaint names as defendants Harvard University and its governing board, the President and Fellows of Harvard College (Compl. at p. 1, ¶ 1). In its answer, the defendant states that the legal name of Harvard University is “President and Fellows of Harvard College” (Answer at p. 5, ¶ 25).</w:t>
            </w:r>
          </w:p>
        </w:tc>
      </w:tr>
      <w:tr>
        <w:tblPrEx/>
        <w:trPr/>
        <w:tc>
          <w:tcPr>
            <w:vAlign w:val="top"/>
          </w:tcPr>
          <w:p>
            <w:pPr>
              <w:spacing w:before="0" w:after="0" w:line="275" w:lineRule="atLeast"/>
            </w:pPr>
            <w:bookmarkStart w:id="217" w:name="co_footnote_B00032047886627_1"/>
            <w:hyperlink w:anchor="co_fnRef_B00032047886627_ID0EECAI_1">
              <w:r>
                <w:rPr>
                  <w:rFonts w:ascii="Times New Roman" w:hAnsi="Times New Roman"/>
                  <w:color w:val="006fc4"/>
                  <w:sz w:val="20"/>
                  <w:vertAlign w:val="superscript"/>
                </w:rPr>
                <w:t>3</w:t>
              </w:r>
            </w:hyperlink>
            <w:bookmarkEnd w:id="217"/>
          </w:p>
        </w:tc>
        <w:tc>
          <w:tcPr>
            <w:vAlign w:val="top"/>
          </w:tcPr>
          <w:p>
            <w:pPr>
              <w:pBdr>
                <w:bottom w:val="none" w:space="8"/>
              </w:pBdr>
              <w:spacing w:before="0" w:after="0" w:line="275" w:lineRule="atLeast"/>
              <w:jc w:val="both"/>
            </w:pPr>
            <w:r>
              <w:rPr>
                <w:rFonts w:ascii="Times New Roman" w:hAnsi="Times New Roman"/>
                <w:color w:val="1f1f1f"/>
                <w:sz w:val="20"/>
              </w:rPr>
              <w:t>While Plaintiffs' complaint contains allegations and claims regarding both audio and audiovisual files, the court will follow the convention employed by the parties and will primarily refer to the audiovisual content as shorthand for both. Plaintiffs' request for relief as to audio content does not differ in a material way from its request as to audiovisual content, at least for purposes of this motion.</w:t>
            </w:r>
          </w:p>
        </w:tc>
      </w:tr>
      <w:tr>
        <w:tblPrEx/>
        <w:trPr/>
        <w:tc>
          <w:tcPr>
            <w:vAlign w:val="top"/>
          </w:tcPr>
          <w:p>
            <w:pPr>
              <w:spacing w:before="0" w:after="0" w:line="275" w:lineRule="atLeast"/>
            </w:pPr>
            <w:bookmarkStart w:id="218" w:name="co_footnote_B00042047886627_1"/>
            <w:hyperlink w:anchor="co_fnRef_B00042047886627_ID0EVNAI_1">
              <w:r>
                <w:rPr>
                  <w:rFonts w:ascii="Times New Roman" w:hAnsi="Times New Roman"/>
                  <w:color w:val="006fc4"/>
                  <w:sz w:val="20"/>
                  <w:vertAlign w:val="superscript"/>
                </w:rPr>
                <w:t>4</w:t>
              </w:r>
            </w:hyperlink>
            <w:bookmarkEnd w:id="218"/>
          </w:p>
        </w:tc>
        <w:tc>
          <w:tcPr>
            <w:vAlign w:val="top"/>
          </w:tcPr>
          <w:p>
            <w:pPr>
              <w:pBdr>
                <w:bottom w:val="none" w:space="8"/>
              </w:pBdr>
              <w:spacing w:before="0" w:after="0" w:line="275" w:lineRule="atLeast"/>
              <w:jc w:val="both"/>
            </w:pPr>
            <w:r>
              <w:rPr>
                <w:rFonts w:ascii="Times New Roman" w:hAnsi="Times New Roman"/>
                <w:color w:val="1f1f1f"/>
                <w:sz w:val="20"/>
              </w:rPr>
              <w:t xml:space="preserve">DOJ is responsible for coordinating the implementation of Section 504 among the various federal agencies that extend financial assistance. </w:t>
            </w:r>
            <w:hyperlink r:id="r339">
              <w:r>
                <w:rPr>
                  <w:rFonts w:ascii="Times New Roman" w:hAnsi="Times New Roman"/>
                  <w:color w:val="006fc4"/>
                  <w:sz w:val="20"/>
                </w:rPr>
                <w:t>Exec. Order No. 12,250, 45 Fed. Reg. 72,995 (Nov. 2, 1980)</w:t>
              </w:r>
            </w:hyperlink>
            <w:r>
              <w:rPr>
                <w:rFonts w:ascii="Times New Roman" w:hAnsi="Times New Roman"/>
                <w:color w:val="1f1f1f"/>
                <w:sz w:val="20"/>
              </w:rPr>
              <w:t xml:space="preserve">. It has issued regulations in furtherance of that responsibility. </w:t>
            </w:r>
            <w:r>
              <w:rPr>
                <w:rFonts w:ascii="Times New Roman" w:hAnsi="Times New Roman"/>
                <w:i/>
                <w:color w:val="1f1f1f"/>
                <w:sz w:val="20"/>
              </w:rPr>
              <w:t>See</w:t>
            </w:r>
            <w:r>
              <w:rPr>
                <w:rFonts w:ascii="Times New Roman" w:hAnsi="Times New Roman"/>
                <w:color w:val="1f1f1f"/>
                <w:sz w:val="20"/>
              </w:rPr>
              <w:t xml:space="preserve"> </w:t>
            </w:r>
            <w:hyperlink r:id="r340">
              <w:r>
                <w:rPr>
                  <w:rFonts w:ascii="Times New Roman" w:hAnsi="Times New Roman"/>
                  <w:color w:val="006fc4"/>
                  <w:sz w:val="20"/>
                </w:rPr>
                <w:t>28 C.F.R. §§ 41.1</w:t>
              </w:r>
            </w:hyperlink>
            <w:r>
              <w:rPr>
                <w:rFonts w:ascii="Times New Roman" w:hAnsi="Times New Roman"/>
                <w:color w:val="1f1f1f"/>
                <w:sz w:val="20"/>
              </w:rPr>
              <w:t xml:space="preserve"> – </w:t>
            </w:r>
            <w:hyperlink r:id="r341">
              <w:r>
                <w:rPr>
                  <w:rFonts w:ascii="Times New Roman" w:hAnsi="Times New Roman"/>
                  <w:color w:val="006fc4"/>
                  <w:sz w:val="20"/>
                </w:rPr>
                <w:t>41.58</w:t>
              </w:r>
            </w:hyperlink>
            <w:r>
              <w:rPr>
                <w:rFonts w:ascii="Times New Roman" w:hAnsi="Times New Roman"/>
                <w:color w:val="1f1f1f"/>
                <w:sz w:val="20"/>
              </w:rPr>
              <w:t>.</w:t>
            </w:r>
          </w:p>
        </w:tc>
      </w:tr>
      <w:tr>
        <w:tblPrEx/>
        <w:trPr/>
        <w:tc>
          <w:tcPr>
            <w:vAlign w:val="top"/>
          </w:tcPr>
          <w:p>
            <w:pPr>
              <w:spacing w:before="0" w:after="0" w:line="275" w:lineRule="atLeast"/>
            </w:pPr>
            <w:bookmarkStart w:id="219" w:name="co_footnote_B00052047886627_1"/>
            <w:hyperlink w:anchor="co_fnRef_B00052047886627_ID0E3NAI_1">
              <w:r>
                <w:rPr>
                  <w:rFonts w:ascii="Times New Roman" w:hAnsi="Times New Roman"/>
                  <w:color w:val="006fc4"/>
                  <w:sz w:val="20"/>
                  <w:vertAlign w:val="superscript"/>
                </w:rPr>
                <w:t>5</w:t>
              </w:r>
            </w:hyperlink>
            <w:bookmarkEnd w:id="219"/>
          </w:p>
        </w:tc>
        <w:tc>
          <w:tcPr>
            <w:vAlign w:val="top"/>
          </w:tcPr>
          <w:p>
            <w:pPr>
              <w:pBdr>
                <w:bottom w:val="none" w:space="8"/>
              </w:pBdr>
              <w:spacing w:before="0" w:after="0" w:line="275" w:lineRule="atLeast"/>
              <w:jc w:val="both"/>
            </w:pPr>
            <w:r>
              <w:rPr>
                <w:rFonts w:ascii="Times New Roman" w:hAnsi="Times New Roman"/>
                <w:color w:val="1f1f1f"/>
                <w:sz w:val="20"/>
              </w:rPr>
              <w:t xml:space="preserve">DOE has issued regulations implementing Section 504 as to the programs and activities to which it provides assistance. </w:t>
            </w:r>
            <w:r>
              <w:rPr>
                <w:rFonts w:ascii="Times New Roman" w:hAnsi="Times New Roman"/>
                <w:i/>
                <w:color w:val="1f1f1f"/>
                <w:sz w:val="20"/>
              </w:rPr>
              <w:t>See</w:t>
            </w:r>
            <w:r>
              <w:rPr>
                <w:rFonts w:ascii="Times New Roman" w:hAnsi="Times New Roman"/>
                <w:color w:val="1f1f1f"/>
                <w:sz w:val="20"/>
              </w:rPr>
              <w:t xml:space="preserve"> </w:t>
            </w:r>
            <w:hyperlink r:id="r342">
              <w:r>
                <w:rPr>
                  <w:rFonts w:ascii="Times New Roman" w:hAnsi="Times New Roman"/>
                  <w:color w:val="006fc4"/>
                  <w:sz w:val="20"/>
                </w:rPr>
                <w:t>34 C.F.R. §§ 104.1</w:t>
              </w:r>
            </w:hyperlink>
            <w:r>
              <w:rPr>
                <w:rFonts w:ascii="Times New Roman" w:hAnsi="Times New Roman"/>
                <w:color w:val="1f1f1f"/>
                <w:sz w:val="20"/>
              </w:rPr>
              <w:t xml:space="preserve"> – </w:t>
            </w:r>
            <w:hyperlink r:id="r343">
              <w:r>
                <w:rPr>
                  <w:rFonts w:ascii="Times New Roman" w:hAnsi="Times New Roman"/>
                  <w:color w:val="006fc4"/>
                  <w:sz w:val="20"/>
                </w:rPr>
                <w:t>104.61</w:t>
              </w:r>
            </w:hyperlink>
            <w:r>
              <w:rPr>
                <w:rFonts w:ascii="Times New Roman" w:hAnsi="Times New Roman"/>
                <w:color w:val="1f1f1f"/>
                <w:sz w:val="20"/>
              </w:rPr>
              <w:t xml:space="preserve">. DOE's regulations must be consistent with the DOJ's coordination regulations. </w:t>
            </w:r>
            <w:hyperlink r:id="r344">
              <w:r>
                <w:rPr>
                  <w:rFonts w:ascii="Times New Roman" w:hAnsi="Times New Roman"/>
                  <w:color w:val="006fc4"/>
                  <w:sz w:val="20"/>
                </w:rPr>
                <w:t>28 C.F.R. § 41.4(a)</w:t>
              </w:r>
            </w:hyperlink>
            <w:r>
              <w:rPr>
                <w:rFonts w:ascii="Times New Roman" w:hAnsi="Times New Roman"/>
                <w:color w:val="1f1f1f"/>
                <w:sz w:val="20"/>
              </w:rPr>
              <w:t>.</w:t>
            </w:r>
          </w:p>
        </w:tc>
      </w:tr>
      <w:tr>
        <w:tblPrEx/>
        <w:trPr/>
        <w:tc>
          <w:tcPr>
            <w:vAlign w:val="top"/>
          </w:tcPr>
          <w:p>
            <w:pPr>
              <w:spacing w:before="0" w:after="0" w:line="275" w:lineRule="atLeast"/>
            </w:pPr>
            <w:bookmarkStart w:id="220" w:name="co_footnote_B00062047886627_1"/>
            <w:hyperlink w:anchor="co_fnRef_B00062047886627_ID0EWWBI_1">
              <w:r>
                <w:rPr>
                  <w:rFonts w:ascii="Times New Roman" w:hAnsi="Times New Roman"/>
                  <w:color w:val="006fc4"/>
                  <w:sz w:val="20"/>
                  <w:vertAlign w:val="superscript"/>
                </w:rPr>
                <w:t>6</w:t>
              </w:r>
            </w:hyperlink>
            <w:bookmarkEnd w:id="220"/>
          </w:p>
        </w:tc>
        <w:tc>
          <w:tcPr>
            <w:vAlign w:val="top"/>
          </w:tcPr>
          <w:p>
            <w:pPr>
              <w:pBdr>
                <w:bottom w:val="none" w:space="8"/>
              </w:pBdr>
              <w:spacing w:before="0" w:after="0" w:line="275" w:lineRule="atLeast"/>
              <w:jc w:val="both"/>
            </w:pPr>
            <w:r>
              <w:rPr>
                <w:rFonts w:ascii="Times New Roman" w:hAnsi="Times New Roman"/>
                <w:color w:val="1f1f1f"/>
                <w:sz w:val="20"/>
              </w:rPr>
              <w:t xml:space="preserve">In </w:t>
            </w:r>
            <w:hyperlink r:id="r345">
              <w:r>
                <w:rPr>
                  <w:rFonts w:ascii="Times New Roman" w:hAnsi="Times New Roman"/>
                  <w:i/>
                  <w:color w:val="006fc4"/>
                  <w:sz w:val="20"/>
                </w:rPr>
                <w:t>Rendon v. Valleycrest Productions, Ltd.</w:t>
              </w:r>
              <w:r>
                <w:rPr>
                  <w:rFonts w:ascii="Times New Roman" w:hAnsi="Times New Roman"/>
                  <w:color w:val="006fc4"/>
                  <w:sz w:val="20"/>
                </w:rPr>
                <w:t>, 294 F.3d 1279, 1283 (11th Cir. 2002)</w:t>
              </w:r>
            </w:hyperlink>
            <w:r>
              <w:rPr>
                <w:rFonts w:ascii="Times New Roman" w:hAnsi="Times New Roman"/>
                <w:color w:val="1f1f1f"/>
                <w:sz w:val="20"/>
              </w:rPr>
              <w:t xml:space="preserve">, the Eleventh Circuit concluded that the plaintiffs had successfully pled a Title III claim when they alleged an “intangible” barrier, i.e. an eligibility requirement or screening policy, that prohibited their full access and enjoyment of a good or service (a gameshow) at a place of public accommodation. District courts in the Eleventh Circuit have cited this decision as support for the rule that there must, at minimum, be some connection alleged between an online service and an actual physical location operated by the defendant. </w:t>
            </w:r>
            <w:r>
              <w:rPr>
                <w:rFonts w:ascii="Times New Roman" w:hAnsi="Times New Roman"/>
                <w:i/>
                <w:color w:val="1f1f1f"/>
                <w:sz w:val="20"/>
              </w:rPr>
              <w:t>See, e.g.,</w:t>
            </w:r>
            <w:r>
              <w:rPr>
                <w:rFonts w:ascii="Times New Roman" w:hAnsi="Times New Roman"/>
                <w:color w:val="1f1f1f"/>
                <w:sz w:val="20"/>
              </w:rPr>
              <w:t xml:space="preserve"> </w:t>
            </w:r>
            <w:hyperlink r:id="r346">
              <w:r>
                <w:rPr>
                  <w:rFonts w:ascii="Times New Roman" w:hAnsi="Times New Roman"/>
                  <w:i/>
                  <w:color w:val="006fc4"/>
                  <w:sz w:val="20"/>
                </w:rPr>
                <w:t>Gil v. Winn-Dixie Stores, Inc.</w:t>
              </w:r>
              <w:r>
                <w:rPr>
                  <w:rFonts w:ascii="Times New Roman" w:hAnsi="Times New Roman"/>
                  <w:color w:val="006fc4"/>
                  <w:sz w:val="20"/>
                </w:rPr>
                <w:t>, 257 F.Supp.3d 1340, 1348 (S.D. Fla. 2017)</w:t>
              </w:r>
            </w:hyperlink>
            <w:r>
              <w:rPr>
                <w:rFonts w:ascii="Times New Roman" w:hAnsi="Times New Roman"/>
                <w:color w:val="1f1f1f"/>
                <w:sz w:val="20"/>
              </w:rPr>
              <w:t>.</w:t>
            </w:r>
          </w:p>
        </w:tc>
      </w:tr>
      <w:tr>
        <w:tblPrEx/>
        <w:trPr/>
        <w:tc>
          <w:tcPr>
            <w:vAlign w:val="top"/>
          </w:tcPr>
          <w:p>
            <w:pPr>
              <w:spacing w:before="0" w:after="0" w:line="275" w:lineRule="atLeast"/>
            </w:pPr>
            <w:bookmarkStart w:id="221" w:name="co_footnote_B00072047886627_1"/>
            <w:hyperlink w:anchor="co_fnRef_B00072047886627_ID0ESDAK_1">
              <w:r>
                <w:rPr>
                  <w:rFonts w:ascii="Times New Roman" w:hAnsi="Times New Roman"/>
                  <w:color w:val="006fc4"/>
                  <w:sz w:val="20"/>
                  <w:vertAlign w:val="superscript"/>
                </w:rPr>
                <w:t>7</w:t>
              </w:r>
            </w:hyperlink>
            <w:bookmarkEnd w:id="221"/>
          </w:p>
        </w:tc>
        <w:tc>
          <w:tcPr>
            <w:vAlign w:val="top"/>
          </w:tcPr>
          <w:p>
            <w:pPr>
              <w:pBdr>
                <w:bottom w:val="none" w:space="8"/>
              </w:pBdr>
              <w:spacing w:before="0" w:after="0" w:line="275" w:lineRule="atLeast"/>
              <w:jc w:val="both"/>
            </w:pPr>
            <w:r>
              <w:rPr>
                <w:rFonts w:ascii="Times New Roman" w:hAnsi="Times New Roman"/>
                <w:color w:val="1f1f1f"/>
                <w:sz w:val="20"/>
              </w:rPr>
              <w:t xml:space="preserve">Plaintiffs' reliance on the Seventh Circuit opinions that decline to read </w:t>
            </w:r>
            <w:hyperlink r:id="r347">
              <w:r>
                <w:rPr>
                  <w:rFonts w:ascii="Times New Roman" w:hAnsi="Times New Roman"/>
                  <w:color w:val="006fc4"/>
                  <w:sz w:val="20"/>
                </w:rPr>
                <w:t>Section 230</w:t>
              </w:r>
            </w:hyperlink>
            <w:r>
              <w:rPr>
                <w:rFonts w:ascii="Times New Roman" w:hAnsi="Times New Roman"/>
                <w:color w:val="1f1f1f"/>
                <w:sz w:val="20"/>
              </w:rPr>
              <w:t xml:space="preserve"> as providing broad immunity for website operators is misplaced (Dkt. No. 147 at 21) in view of the First Circuit's controlling pronouncements. </w:t>
            </w:r>
            <w:r>
              <w:rPr>
                <w:rFonts w:ascii="Times New Roman" w:hAnsi="Times New Roman"/>
                <w:i/>
                <w:color w:val="1f1f1f"/>
                <w:sz w:val="20"/>
              </w:rPr>
              <w:t>See, e.g.,</w:t>
            </w:r>
            <w:r>
              <w:rPr>
                <w:rFonts w:ascii="Times New Roman" w:hAnsi="Times New Roman"/>
                <w:color w:val="1f1f1f"/>
                <w:sz w:val="20"/>
              </w:rPr>
              <w:t xml:space="preserve"> </w:t>
            </w:r>
            <w:hyperlink r:id="r348">
              <w:r>
                <w:rPr>
                  <w:rFonts w:ascii="Times New Roman" w:hAnsi="Times New Roman"/>
                  <w:i/>
                  <w:color w:val="006fc4"/>
                  <w:sz w:val="20"/>
                </w:rPr>
                <w:t>Backpage</w:t>
              </w:r>
              <w:r>
                <w:rPr>
                  <w:rFonts w:ascii="Times New Roman" w:hAnsi="Times New Roman"/>
                  <w:color w:val="006fc4"/>
                  <w:sz w:val="20"/>
                </w:rPr>
                <w:t>, 817 F.3d at 19</w:t>
              </w:r>
            </w:hyperlink>
            <w:r>
              <w:rPr>
                <w:rFonts w:ascii="Times New Roman" w:hAnsi="Times New Roman"/>
                <w:color w:val="1f1f1f"/>
                <w:sz w:val="20"/>
              </w:rPr>
              <w:t xml:space="preserve">; </w:t>
            </w:r>
            <w:hyperlink r:id="r349">
              <w:r>
                <w:rPr>
                  <w:rFonts w:ascii="Times New Roman" w:hAnsi="Times New Roman"/>
                  <w:i/>
                  <w:color w:val="006fc4"/>
                  <w:sz w:val="20"/>
                </w:rPr>
                <w:t>Lycos</w:t>
              </w:r>
              <w:r>
                <w:rPr>
                  <w:rFonts w:ascii="Times New Roman" w:hAnsi="Times New Roman"/>
                  <w:color w:val="006fc4"/>
                  <w:sz w:val="20"/>
                </w:rPr>
                <w:t>, 478 F.3d at 415</w:t>
              </w:r>
            </w:hyperlink>
            <w:r>
              <w:rPr>
                <w:rFonts w:ascii="Times New Roman" w:hAnsi="Times New Roman"/>
                <w:color w:val="1f1f1f"/>
                <w:sz w:val="20"/>
              </w:rPr>
              <w:t xml:space="preserve"> (“In Section 230 of the Communications Decency Act (CDA), </w:t>
            </w:r>
            <w:hyperlink r:id="r350">
              <w:r>
                <w:rPr>
                  <w:rFonts w:ascii="Times New Roman" w:hAnsi="Times New Roman"/>
                  <w:color w:val="006fc4"/>
                  <w:sz w:val="20"/>
                </w:rPr>
                <w:t>47 U.S.C. § 230</w:t>
              </w:r>
            </w:hyperlink>
            <w:r>
              <w:rPr>
                <w:rFonts w:ascii="Times New Roman" w:hAnsi="Times New Roman"/>
                <w:color w:val="1f1f1f"/>
                <w:sz w:val="20"/>
              </w:rPr>
              <w:t>, Congress has granted broad immunity to entities ... that facilitate the speech of others on the Internet.”).</w:t>
            </w:r>
          </w:p>
        </w:tc>
      </w:tr>
      <w:tr>
        <w:tblPrEx/>
        <w:trPr/>
        <w:tc>
          <w:tcPr>
            <w:vAlign w:val="top"/>
          </w:tcPr>
          <w:p>
            <w:pPr>
              <w:spacing w:before="0" w:after="0" w:line="275" w:lineRule="atLeast"/>
            </w:pPr>
            <w:bookmarkStart w:id="222" w:name="co_footnote_B00082047886627_1"/>
            <w:hyperlink w:anchor="co_fnRef_B00082047886627_ID0EDPAK_1">
              <w:r>
                <w:rPr>
                  <w:rFonts w:ascii="Times New Roman" w:hAnsi="Times New Roman"/>
                  <w:color w:val="006fc4"/>
                  <w:sz w:val="20"/>
                  <w:vertAlign w:val="superscript"/>
                </w:rPr>
                <w:t>8</w:t>
              </w:r>
            </w:hyperlink>
            <w:bookmarkEnd w:id="222"/>
          </w:p>
        </w:tc>
        <w:tc>
          <w:tcPr>
            <w:vAlign w:val="top"/>
          </w:tcPr>
          <w:p>
            <w:pPr>
              <w:pBdr>
                <w:bottom w:val="none" w:space="8"/>
              </w:pBdr>
              <w:spacing w:before="0" w:after="0" w:line="275" w:lineRule="atLeast"/>
              <w:jc w:val="both"/>
            </w:pPr>
            <w:r>
              <w:rPr>
                <w:rFonts w:ascii="Times New Roman" w:hAnsi="Times New Roman"/>
                <w:color w:val="1f1f1f"/>
                <w:sz w:val="20"/>
              </w:rPr>
              <w:t xml:space="preserve">Plaintiffs' claims under the ADA and Section 504 also remain subject to Harvard's affirmative defenses that providing captioning or another auxiliary aid or service would result in an undue burden or fundamentally alter the nature of its online services. </w:t>
            </w:r>
            <w:r>
              <w:rPr>
                <w:rFonts w:ascii="Times New Roman" w:hAnsi="Times New Roman"/>
                <w:i/>
                <w:color w:val="1f1f1f"/>
                <w:sz w:val="20"/>
              </w:rPr>
              <w:t>See</w:t>
            </w:r>
            <w:r>
              <w:rPr>
                <w:rFonts w:ascii="Times New Roman" w:hAnsi="Times New Roman"/>
                <w:color w:val="1f1f1f"/>
                <w:sz w:val="20"/>
              </w:rPr>
              <w:t xml:space="preserve"> </w:t>
            </w:r>
            <w:hyperlink r:id="r351">
              <w:r>
                <w:rPr>
                  <w:rFonts w:ascii="Times New Roman" w:hAnsi="Times New Roman"/>
                  <w:i/>
                  <w:color w:val="006fc4"/>
                  <w:sz w:val="20"/>
                </w:rPr>
                <w:t>Nat'l Assoc. of the Deaf</w:t>
              </w:r>
              <w:r>
                <w:rPr>
                  <w:rFonts w:ascii="Times New Roman" w:hAnsi="Times New Roman"/>
                  <w:color w:val="006fc4"/>
                  <w:sz w:val="20"/>
                </w:rPr>
                <w:t>, 2016 WL 3561622, at *12</w:t>
              </w:r>
            </w:hyperlink>
            <w:r>
              <w:rPr>
                <w:rFonts w:ascii="Times New Roman" w:hAnsi="Times New Roman"/>
                <w:color w:val="1f1f1f"/>
                <w:sz w:val="20"/>
              </w:rPr>
              <w:t xml:space="preserve"> (citing </w:t>
            </w:r>
            <w:hyperlink r:id="r352">
              <w:r>
                <w:rPr>
                  <w:rFonts w:ascii="Times New Roman" w:hAnsi="Times New Roman"/>
                  <w:i/>
                  <w:color w:val="006fc4"/>
                  <w:sz w:val="20"/>
                </w:rPr>
                <w:t>Harkins</w:t>
              </w:r>
              <w:r>
                <w:rPr>
                  <w:rFonts w:ascii="Times New Roman" w:hAnsi="Times New Roman"/>
                  <w:color w:val="006fc4"/>
                  <w:sz w:val="20"/>
                </w:rPr>
                <w:t>, 603 F.3d at 675</w:t>
              </w:r>
            </w:hyperlink>
            <w:r>
              <w:rPr>
                <w:rFonts w:ascii="Times New Roman" w:hAnsi="Times New Roman"/>
                <w:color w:val="1f1f1f"/>
                <w:sz w:val="20"/>
              </w:rPr>
              <w:t>).</w:t>
            </w:r>
          </w:p>
        </w:tc>
      </w:tr>
      <w:tr>
        <w:tblPrEx/>
        <w:trPr/>
        <w:tc>
          <w:tcPr>
            <w:vAlign w:val="top"/>
          </w:tcPr>
          <w:p>
            <w:pPr>
              <w:spacing w:before="0" w:after="0" w:line="275" w:lineRule="atLeast"/>
            </w:pPr>
            <w:bookmarkStart w:id="223" w:name="co_footnote_B00092047886627_1"/>
            <w:hyperlink w:anchor="co_fnRef_B00092047886627_ID0ES2AK_1">
              <w:r>
                <w:rPr>
                  <w:rFonts w:ascii="Times New Roman" w:hAnsi="Times New Roman"/>
                  <w:color w:val="006fc4"/>
                  <w:sz w:val="20"/>
                  <w:vertAlign w:val="superscript"/>
                </w:rPr>
                <w:t>9</w:t>
              </w:r>
            </w:hyperlink>
            <w:bookmarkEnd w:id="223"/>
          </w:p>
        </w:tc>
        <w:tc>
          <w:tcPr>
            <w:vAlign w:val="top"/>
          </w:tcPr>
          <w:p>
            <w:pPr>
              <w:pBdr>
                <w:bottom w:val="none" w:space="8"/>
              </w:pBdr>
              <w:spacing w:before="0" w:after="0" w:line="275" w:lineRule="atLeast"/>
              <w:jc w:val="both"/>
            </w:pPr>
            <w:r>
              <w:rPr>
                <w:rFonts w:ascii="Times New Roman" w:hAnsi="Times New Roman"/>
                <w:color w:val="1f1f1f"/>
                <w:sz w:val="20"/>
              </w:rPr>
              <w:t xml:space="preserve">Hosting content accessible via the Internet requires “(1) static IP (Internet protocol) addresses through which the web sites may be reached ...; (2) a high-speed physical connection through which communications pass between the Internet's transmission lines and the web sites; and (3) storage space on a server (a computer and hard disk that are always on) so that the content of the web sites can be accessed reliably.” </w:t>
            </w:r>
            <w:hyperlink r:id="r353">
              <w:r>
                <w:rPr>
                  <w:rFonts w:ascii="Times New Roman" w:hAnsi="Times New Roman"/>
                  <w:i/>
                  <w:color w:val="006fc4"/>
                  <w:sz w:val="20"/>
                </w:rPr>
                <w:t>Doe v. GTE Corp.</w:t>
              </w:r>
              <w:r>
                <w:rPr>
                  <w:rFonts w:ascii="Times New Roman" w:hAnsi="Times New Roman"/>
                  <w:color w:val="006fc4"/>
                  <w:sz w:val="20"/>
                </w:rPr>
                <w:t>, 347 F.3d 655, 657 (7th Cir. 2003)</w:t>
              </w:r>
            </w:hyperlink>
            <w:r>
              <w:rPr>
                <w:rFonts w:ascii="Times New Roman" w:hAnsi="Times New Roman"/>
                <w:color w:val="1f1f1f"/>
                <w:sz w:val="20"/>
              </w:rPr>
              <w:t>.</w:t>
            </w:r>
          </w:p>
        </w:tc>
      </w:tr>
      <w:tr>
        <w:tblPrEx/>
        <w:trPr/>
        <w:tc>
          <w:tcPr>
            <w:vAlign w:val="top"/>
          </w:tcPr>
          <w:p>
            <w:pPr>
              <w:spacing w:before="0" w:after="0" w:line="275" w:lineRule="atLeast"/>
            </w:pPr>
            <w:bookmarkStart w:id="224" w:name="co_footnote_B00102047886627_1"/>
            <w:hyperlink w:anchor="co_fnRef_B00102047886627_ID0E52AK_1">
              <w:r>
                <w:rPr>
                  <w:rFonts w:ascii="Times New Roman" w:hAnsi="Times New Roman"/>
                  <w:color w:val="006fc4"/>
                  <w:sz w:val="20"/>
                  <w:vertAlign w:val="superscript"/>
                </w:rPr>
                <w:t>10</w:t>
              </w:r>
            </w:hyperlink>
            <w:bookmarkEnd w:id="224"/>
          </w:p>
        </w:tc>
        <w:tc>
          <w:tcPr>
            <w:vAlign w:val="top"/>
          </w:tcPr>
          <w:p>
            <w:pPr>
              <w:pBdr>
                <w:bottom w:val="none" w:space="8"/>
              </w:pBdr>
              <w:spacing w:before="0" w:after="0" w:line="275" w:lineRule="atLeast"/>
              <w:jc w:val="both"/>
            </w:pPr>
            <w:r>
              <w:rPr>
                <w:rFonts w:ascii="Times New Roman" w:hAnsi="Times New Roman"/>
                <w:color w:val="1f1f1f"/>
                <w:sz w:val="20"/>
              </w:rPr>
              <w:t xml:space="preserve">Embedding an image on a webpage requires using a code that allows the individual posting content to incorporate an image hosted on a third-party server into a posting. </w:t>
            </w:r>
            <w:r>
              <w:rPr>
                <w:rFonts w:ascii="Times New Roman" w:hAnsi="Times New Roman"/>
                <w:i/>
                <w:color w:val="1f1f1f"/>
                <w:sz w:val="20"/>
              </w:rPr>
              <w:t>See</w:t>
            </w:r>
            <w:r>
              <w:rPr>
                <w:rFonts w:ascii="Times New Roman" w:hAnsi="Times New Roman"/>
                <w:color w:val="1f1f1f"/>
                <w:sz w:val="20"/>
              </w:rPr>
              <w:t xml:space="preserve"> </w:t>
            </w:r>
            <w:hyperlink r:id="r354">
              <w:r>
                <w:rPr>
                  <w:rFonts w:ascii="Times New Roman" w:hAnsi="Times New Roman"/>
                  <w:i/>
                  <w:color w:val="006fc4"/>
                  <w:sz w:val="20"/>
                </w:rPr>
                <w:t>Goldman v. Breitbart News Network, LLC</w:t>
              </w:r>
              <w:r>
                <w:rPr>
                  <w:rFonts w:ascii="Times New Roman" w:hAnsi="Times New Roman"/>
                  <w:color w:val="006fc4"/>
                  <w:sz w:val="20"/>
                </w:rPr>
                <w:t>, 302 F.Supp.3d 585, 587 (S.D.N.Y. 2018)</w:t>
              </w:r>
            </w:hyperlink>
            <w:r>
              <w:rPr>
                <w:rFonts w:ascii="Times New Roman" w:hAnsi="Times New Roman"/>
                <w:color w:val="1f1f1f"/>
                <w:sz w:val="20"/>
              </w:rPr>
              <w:t xml:space="preserve">. “An embedded image will ... hyperlink (that is, create a link from one place in a hypertext document to another in a different document) to the third-party website. The result: a seamlessly integrated [posting], a mix of text and images, although the underlying images may be hosted in varying locations.” </w:t>
            </w:r>
            <w:r>
              <w:rPr>
                <w:rFonts w:ascii="Times New Roman" w:hAnsi="Times New Roman"/>
                <w:i/>
                <w:color w:val="1f1f1f"/>
                <w:sz w:val="20"/>
              </w:rPr>
              <w:t>Id.</w:t>
            </w:r>
          </w:p>
        </w:tc>
      </w:tr>
    </w:tbl>
    <w:p>
      <w:pPr>
        <w:spacing w:before="0" w:after="0" w:line="240" w:lineRule="auto"/>
        <w:rPr>
          <w:sz w:val="20"/>
        </w:rPr>
      </w:pPr>
    </w:p>
    <w:tbl>
      <w:tblPr>
        <w:tblInd w:w="24" w:type="dxa"/>
        <w:tblLayout w:type="fixed"/>
      </w:tblPr>
      <w:tblGrid>
        <w:gridCol w:w="4305"/>
        <w:gridCol w:w="5745"/>
      </w:tblGrid>
      <w:bookmarkStart w:id="225"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bookmarkEnd w:id="225"/>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73" name="Picture 0" descr="Westlaw Logo"/>
                <a:graphic>
                  <a:graphicData uri="http://schemas.openxmlformats.org/drawingml/2006/picture">
                    <p:pic>
                      <p:nvPicPr>
                        <p:cNvPr id="74"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National Association of the Deaf v. Harvard University, 377 F.Supp.3d 49 (2019)</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pPr>
          <w:r>
            <w:rPr>
              <w:rFonts w:ascii="Arial" w:hAnsi="Arial"/>
              <w:color w:val="000000"/>
              <w:sz w:val="18"/>
            </w:rPr>
            <w:t>59 NDLR P 18</w:t>
          </w: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