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19" Type="http://schemas.openxmlformats.org/officeDocument/2006/relationships/hyperlink" Target="https://www.westlaw.com/Browse/Home/KeyNumber/170Bk3581/View.html?docGuid=I202ba230f9ec11eaa684fcd3f9c99774&amp;originationContext=document&amp;vr=3.0&amp;rs=cblt1.0&amp;transitionType=DocumentItem&amp;contextData=(sc.Default)" TargetMode="External"/><Relationship Id="r101" Type="http://schemas.openxmlformats.org/officeDocument/2006/relationships/hyperlink" Target="https://www.westlaw.com/Browse/Home/KeyNumber/92XXVI(B)3/View.html?docGuid=I202ba230f9ec11eaa684fcd3f9c99774&amp;originationContext=document&amp;vr=3.0&amp;rs=cblt1.0&amp;transitionType=DocumentItem&amp;contextData=(sc.Default)" TargetMode="External"/><Relationship Id="r122" Type="http://schemas.openxmlformats.org/officeDocument/2006/relationships/hyperlink" Target="https://www.westlaw.com/Link/Document/FullText?findType=h&amp;pubNum=176284&amp;cite=0312952701&amp;originatingDoc=I202ba230f9ec11eaa684fcd3f9c99774&amp;refType=RQ&amp;originationContext=document&amp;vr=3.0&amp;rs=cblt1.0&amp;transitionType=DocumentItem&amp;contextData=(sc.Default)" TargetMode="External"/><Relationship Id="r30" Type="http://schemas.openxmlformats.org/officeDocument/2006/relationships/hyperlink" Target="https://www.westlaw.com/Link/RelatedInformation/DocHeadnoteLink?docGuid=I202ba230f9ec11eaa684fcd3f9c99774&amp;headnoteId=205188401500520230831142352&amp;originationContext=document&amp;vr=3.0&amp;rs=cblt1.0&amp;transitionType=CitingReferences&amp;contextData=(sc.Default)" TargetMode="External"/><Relationship Id="r51" Type="http://schemas.openxmlformats.org/officeDocument/2006/relationships/hyperlink" Target="https://www.westlaw.com/Link/RelatedInformation/DocHeadnoteLink?docGuid=I202ba230f9ec11eaa684fcd3f9c99774&amp;headnoteId=205188401501020230831142352&amp;originationContext=document&amp;vr=3.0&amp;rs=cblt1.0&amp;transitionType=CitingReferences&amp;contextData=(sc.Default)" TargetMode="External"/><Relationship Id="r72" Type="http://schemas.openxmlformats.org/officeDocument/2006/relationships/hyperlink" Target="https://www.westlaw.com/Link/Document/FullText?findType=L&amp;pubNum=1000517&amp;cite=COSTS17-27-101&amp;originatingDoc=I202ba230f9ec11eaa684fcd3f9c99774&amp;refType=LQ&amp;originationContext=document&amp;vr=3.0&amp;rs=cblt1.0&amp;transitionType=DocumentItem&amp;contextData=(sc.Default)" TargetMode="External"/><Relationship Id="r143" Type="http://schemas.openxmlformats.org/officeDocument/2006/relationships/hyperlink" Target="https://www.westlaw.com/Link/Document/FullText?findType=Y&amp;serNum=2017253723&amp;pubNum=0000506&amp;originatingDoc=I202ba230f9ec11eaa684fcd3f9c99774&amp;refType=RP&amp;fi=co_pp_sp_506_892&amp;originationContext=document&amp;vr=3.0&amp;rs=cblt1.0&amp;transitionType=DocumentItem&amp;contextData=(sc.Default)#co_pp_sp_506_892" TargetMode="External"/><Relationship Id="r164" Type="http://schemas.openxmlformats.org/officeDocument/2006/relationships/hyperlink" Target="https://www.westlaw.com/Link/Document/FullText?findType=Y&amp;serNum=2019219905&amp;pubNum=0000506&amp;originatingDoc=I202ba230f9ec11eaa684fcd3f9c99774&amp;refType=RP&amp;fi=co_pp_sp_506_324&amp;originationContext=document&amp;vr=3.0&amp;rs=cblt1.0&amp;transitionType=DocumentItem&amp;contextData=(sc.Default)#co_pp_sp_506_324" TargetMode="External"/><Relationship Id="r185" Type="http://schemas.openxmlformats.org/officeDocument/2006/relationships/hyperlink" Target="https://www.westlaw.com/Link/Document/FullText?findType=Y&amp;serNum=2022928351&amp;pubNum=0000506&amp;originatingDoc=I202ba230f9ec11eaa684fcd3f9c99774&amp;refType=RP&amp;fi=co_pp_sp_506_1068&amp;originationContext=document&amp;vr=3.0&amp;rs=cblt1.0&amp;transitionType=DocumentItem&amp;contextData=(sc.Default)#co_pp_sp_506_1068" TargetMode="External"/><Relationship Id="r93" Type="http://schemas.openxmlformats.org/officeDocument/2006/relationships/hyperlink" Target="https://www.westlaw.com/Browse/Home/KeyNumber/92k1021/View.html?docGuid=I202ba230f9ec11eaa684fcd3f9c99774&amp;originationContext=document&amp;vr=3.0&amp;rs=cblt1.0&amp;transitionType=DocumentItem&amp;contextData=(sc.Default)" TargetMode="External"/><Relationship Id="r210" Type="http://schemas.openxmlformats.org/officeDocument/2006/relationships/hyperlink" Target="https://www.westlaw.com/Link/Document/FullText?findType=Y&amp;serNum=2049809902&amp;pubNum=0000708&amp;originatingDoc=I202ba230f9ec11eaa684fcd3f9c99774&amp;refType=RP&amp;originationContext=document&amp;vr=3.0&amp;rs=cblt1.0&amp;transitionType=DocumentItem&amp;contextData=(sc.Default)" TargetMode="External"/><Relationship Id="r8" Type="http://schemas.openxmlformats.org/officeDocument/2006/relationships/hyperlink" Target="https://www.westlaw.com/Search/Results.html?query=advanced%3a+OAID(5002478296)&amp;saveJuris=False&amp;contentType=BUSINESS-INVESTIGATOR&amp;startIndex=1&amp;contextData=(sc.Default)&amp;categoryPageUrl=Home%2fCompanyInvestigator&amp;originationContext=document&amp;vr=3.0&amp;rs=cblt1.0&amp;transitionType=DocumentItem" TargetMode="External"/><Relationship Id="r112" Type="http://schemas.openxmlformats.org/officeDocument/2006/relationships/hyperlink" Target="https://www.westlaw.com/Link/RelatedInformation/DocHeadnoteLink?docGuid=I202ba230f9ec11eaa684fcd3f9c99774&amp;headnoteId=205188401502120230831142352&amp;originationContext=document&amp;vr=3.0&amp;rs=cblt1.0&amp;transitionType=CitingReferences&amp;contextData=(sc.Default)" TargetMode="External"/><Relationship Id="r20" Type="http://schemas.openxmlformats.org/officeDocument/2006/relationships/hyperlink" Target="https://www.westlaw.com/Link/RelatedInformation/DocHeadnoteLink?docGuid=I202ba230f9ec11eaa684fcd3f9c99774&amp;headnoteId=205188401500120230831142352&amp;originationContext=document&amp;vr=3.0&amp;rs=cblt1.0&amp;transitionType=CitingReferences&amp;contextData=(sc.Default)" TargetMode="External"/><Relationship Id="r41" Type="http://schemas.openxmlformats.org/officeDocument/2006/relationships/hyperlink" Target="https://www.westlaw.com/Browse/Home/KeyNumber/118Ak84/View.html?docGuid=I202ba230f9ec11eaa684fcd3f9c99774&amp;originationContext=document&amp;vr=3.0&amp;rs=cblt1.0&amp;transitionType=DocumentItem&amp;contextData=(sc.Default)" TargetMode="External"/><Relationship Id="r62" Type="http://schemas.openxmlformats.org/officeDocument/2006/relationships/hyperlink" Target="https://www.westlaw.com/Link/Document/FullText?findType=L&amp;pubNum=1000546&amp;cite=29USCAS794&amp;originatingDoc=I202ba230f9ec11eaa684fcd3f9c99774&amp;refType=SP&amp;originationContext=document&amp;vr=3.0&amp;rs=cblt1.0&amp;transitionType=DocumentItem&amp;contextData=(sc.Default)#co_pp_8b3b0000958a4" TargetMode="External"/><Relationship Id="r133" Type="http://schemas.openxmlformats.org/officeDocument/2006/relationships/hyperlink" Target="https://www.westlaw.com/Link/Document/Blob/I83e9ccb0fbc811ea903cced0b588607a.png?originationContext=document&amp;vr=3.0&amp;rs=cblt1.0&amp;transitionType=DocumentImage&amp;contextData=(sc.Default)" TargetMode="External"/><Relationship Id="r154" Type="http://schemas.openxmlformats.org/officeDocument/2006/relationships/hyperlink" Target="https://www.westlaw.com/Link/Document/FullText?findType=Y&amp;serNum=1992022716&amp;pubNum=0000780&amp;originatingDoc=I202ba230f9ec11eaa684fcd3f9c99774&amp;refType=RP&amp;fi=co_pp_sp_780_288&amp;originationContext=document&amp;vr=3.0&amp;rs=cblt1.0&amp;transitionType=DocumentItem&amp;contextData=(sc.Default)#co_pp_sp_780_288" TargetMode="External"/><Relationship Id="r175" Type="http://schemas.openxmlformats.org/officeDocument/2006/relationships/hyperlink" Target="https://www.westlaw.com/Link/Document/FullText?findType=Y&amp;serNum=1998125691&amp;pubNum=0000780&amp;originatingDoc=I202ba230f9ec11eaa684fcd3f9c99774&amp;refType=RP&amp;fi=co_pp_sp_780_213&amp;originationContext=document&amp;vr=3.0&amp;rs=cblt1.0&amp;transitionType=DocumentItem&amp;contextData=(sc.Default)#co_pp_sp_780_213" TargetMode="External"/><Relationship Id="r196" Type="http://schemas.openxmlformats.org/officeDocument/2006/relationships/hyperlink" Target="https://www.westlaw.com/Link/Document/FullText?findType=Y&amp;serNum=2006294099&amp;pubNum=0000506&amp;originatingDoc=I202ba230f9ec11eaa684fcd3f9c99774&amp;refType=RP&amp;fi=co_pp_sp_506_1255&amp;originationContext=document&amp;vr=3.0&amp;rs=cblt1.0&amp;transitionType=DocumentItem&amp;contextData=(sc.Default)#co_pp_sp_506_1255" TargetMode="External"/><Relationship Id="r83" Type="http://schemas.openxmlformats.org/officeDocument/2006/relationships/hyperlink" Target="https://www.westlaw.com/Browse/Home/KeyNumber/78k1302/View.html?docGuid=I202ba230f9ec11eaa684fcd3f9c99774&amp;originationContext=document&amp;vr=3.0&amp;rs=cblt1.0&amp;transitionType=DocumentItem&amp;contextData=(sc.Default)" TargetMode="External"/><Relationship Id="r200" Type="http://schemas.openxmlformats.org/officeDocument/2006/relationships/hyperlink" Target="https://www.westlaw.com/Link/Document/FullText?findType=Y&amp;serNum=1997052696&amp;pubNum=0000506&amp;originatingDoc=I202ba230f9ec11eaa684fcd3f9c99774&amp;refType=RP&amp;originationContext=document&amp;vr=3.0&amp;rs=cblt1.0&amp;transitionType=DocumentItem&amp;contextData=(sc.Default)" TargetMode="External"/><Relationship Id="r10" Type="http://schemas.openxmlformats.org/officeDocument/2006/relationships/hyperlink" Target="https://www.westlaw.com/Search/Results.html?query=advanced%3a+OAID(5044860509)&amp;saveJuris=False&amp;contentType=BUSINESS-INVESTIGATOR&amp;startIndex=1&amp;contextData=(sc.Default)&amp;categoryPageUrl=Home%2fCompanyInvestigator&amp;originationContext=document&amp;vr=3.0&amp;rs=cblt1.0&amp;transitionType=DocumentItem" TargetMode="External"/><Relationship Id="r31"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52"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102" Type="http://schemas.openxmlformats.org/officeDocument/2006/relationships/hyperlink" Target="https://www.westlaw.com/Link/Document/FullText?findType=L&amp;pubNum=1000583&amp;cite=USCOAMENDXIV&amp;originatingDoc=I202ba230f9ec11eaa684fcd3f9c99774&amp;refType=LQ&amp;originationContext=document&amp;vr=3.0&amp;rs=cblt1.0&amp;transitionType=DocumentItem&amp;contextData=(sc.Default)" TargetMode="External"/><Relationship Id="r123" Type="http://schemas.openxmlformats.org/officeDocument/2006/relationships/hyperlink" Target="https://www.westlaw.com/Link/Document/FullText?findType=h&amp;pubNum=176284&amp;cite=0229161799&amp;originatingDoc=I202ba230f9ec11eaa684fcd3f9c99774&amp;refType=RQ&amp;originationContext=document&amp;vr=3.0&amp;rs=cblt1.0&amp;transitionType=DocumentItem&amp;contextData=(sc.Default)" TargetMode="External"/><Relationship Id="r144" Type="http://schemas.openxmlformats.org/officeDocument/2006/relationships/hyperlink" Target="https://www.westlaw.com/Link/Document/FullText?findType=Y&amp;serNum=1999191046&amp;pubNum=0000506&amp;originatingDoc=I202ba230f9ec11eaa684fcd3f9c99774&amp;refType=RP&amp;fi=co_pp_sp_506_1216&amp;originationContext=document&amp;vr=3.0&amp;rs=cblt1.0&amp;transitionType=DocumentItem&amp;contextData=(sc.Default)#co_pp_sp_506_1216" TargetMode="External"/><Relationship Id="r165" Type="http://schemas.openxmlformats.org/officeDocument/2006/relationships/hyperlink" Target="https://www.westlaw.com/Link/Document/FullText?findType=Y&amp;serNum=2019219905&amp;pubNum=0000506&amp;originatingDoc=I202ba230f9ec11eaa684fcd3f9c99774&amp;refType=RP&amp;originationContext=document&amp;vr=3.0&amp;rs=cblt1.0&amp;transitionType=DocumentItem&amp;contextData=(sc.Default)" TargetMode="External"/><Relationship Id="r186" Type="http://schemas.openxmlformats.org/officeDocument/2006/relationships/hyperlink" Target="https://www.westlaw.com/Link/Document/FullText?findType=L&amp;pubNum=1000517&amp;cite=COSTS17-27-103&amp;originatingDoc=I202ba230f9ec11eaa684fcd3f9c99774&amp;refType=SP&amp;originationContext=document&amp;vr=3.0&amp;rs=cblt1.0&amp;transitionType=DocumentItem&amp;contextData=(sc.Default)#co_pp_0bd500007a412" TargetMode="External"/><Relationship Id="r73" Type="http://schemas.openxmlformats.org/officeDocument/2006/relationships/hyperlink" Target="https://www.westlaw.com/Link/Document/FullText?findType=L&amp;pubNum=1000517&amp;cite=COSTS17-27-103&amp;originatingDoc=I202ba230f9ec11eaa684fcd3f9c99774&amp;refType=LQ&amp;originationContext=document&amp;vr=3.0&amp;rs=cblt1.0&amp;transitionType=DocumentItem&amp;contextData=(sc.Default)" TargetMode="External"/><Relationship Id="r94" Type="http://schemas.openxmlformats.org/officeDocument/2006/relationships/hyperlink" Target="https://www.westlaw.com/Browse/Home/KeyNumber/92/View.html?docGuid=I202ba230f9ec11eaa684fcd3f9c99774&amp;originationContext=document&amp;vr=3.0&amp;rs=cblt1.0&amp;transitionType=DocumentItem&amp;contextData=(sc.Default)" TargetMode="External"/><Relationship Id="r211" Type="http://schemas.openxmlformats.org/officeDocument/2006/relationships/hyperlink" Target="https://www.westlaw.com/Link/Document/FullText?findType=Y&amp;serNum=2048783262&amp;pubNum=0006538&amp;originatingDoc=I202ba230f9ec11eaa684fcd3f9c99774&amp;refType=RP&amp;fi=co_pp_sp_6538_956&amp;originationContext=document&amp;vr=3.0&amp;rs=cblt1.0&amp;transitionType=DocumentItem&amp;contextData=(sc.Default)#co_pp_sp_6538_956" TargetMode="External"/><Relationship Id="r9" Type="http://schemas.openxmlformats.org/officeDocument/2006/relationships/hyperlink" Target="https://www.westlaw.com/Search/Results.html?query=advanced%3a+OAID(5026485364)&amp;saveJuris=False&amp;contentType=BUSINESS-INVESTIGATOR&amp;startIndex=1&amp;contextData=(sc.Default)&amp;categoryPageUrl=Home%2fCompanyInvestigator&amp;originationContext=document&amp;vr=3.0&amp;rs=cblt1.0&amp;transitionType=DocumentItem" TargetMode="External"/><Relationship Id="r21" Type="http://schemas.openxmlformats.org/officeDocument/2006/relationships/image" Target="images/2.png"/><Relationship Id="r42" Type="http://schemas.openxmlformats.org/officeDocument/2006/relationships/hyperlink" Target="https://www.westlaw.com/Link/Document/FullText?findType=L&amp;pubNum=1000583&amp;cite=USCOAMENDXIV&amp;originatingDoc=I202ba230f9ec11eaa684fcd3f9c99774&amp;refType=LQ&amp;originationContext=document&amp;vr=3.0&amp;rs=cblt1.0&amp;transitionType=DocumentItem&amp;contextData=(sc.Default)" TargetMode="External"/><Relationship Id="r113"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134" Type="http://schemas.openxmlformats.org/officeDocument/2006/relationships/image" Target="images/3.png"/><Relationship Id="r155" Type="http://schemas.openxmlformats.org/officeDocument/2006/relationships/hyperlink" Target="https://www.westlaw.com/Link/Document/FullText?findType=Y&amp;serNum=1986133437&amp;pubNum=0000780&amp;originatingDoc=I202ba230f9ec11eaa684fcd3f9c99774&amp;refType=RP&amp;originationContext=document&amp;vr=3.0&amp;rs=cblt1.0&amp;transitionType=DocumentItem&amp;contextData=(sc.Default)" TargetMode="External"/><Relationship Id="r176" Type="http://schemas.openxmlformats.org/officeDocument/2006/relationships/hyperlink" Target="https://www.westlaw.com/Link/Document/FullText?findType=Y&amp;serNum=2039464845&amp;pubNum=0000506&amp;originatingDoc=I202ba230f9ec11eaa684fcd3f9c99774&amp;refType=RP&amp;fi=co_pp_sp_506_72&amp;originationContext=document&amp;vr=3.0&amp;rs=cblt1.0&amp;transitionType=DocumentItem&amp;contextData=(sc.Default)#co_pp_sp_506_72" TargetMode="External"/><Relationship Id="r63" Type="http://schemas.openxmlformats.org/officeDocument/2006/relationships/hyperlink" Target="https://www.westlaw.com/Link/Document/FullText?findType=L&amp;pubNum=1000517&amp;cite=COSTS17-27-101&amp;originatingDoc=I202ba230f9ec11eaa684fcd3f9c99774&amp;refType=LQ&amp;originationContext=document&amp;vr=3.0&amp;rs=cblt1.0&amp;transitionType=DocumentItem&amp;contextData=(sc.Default)" TargetMode="External"/><Relationship Id="r84" Type="http://schemas.openxmlformats.org/officeDocument/2006/relationships/hyperlink" Target="https://www.westlaw.com/Link/Document/FullText?findType=L&amp;pubNum=1000546&amp;cite=29USCAS794&amp;originatingDoc=I202ba230f9ec11eaa684fcd3f9c99774&amp;refType=LQ&amp;originationContext=document&amp;vr=3.0&amp;rs=cblt1.0&amp;transitionType=DocumentItem&amp;contextData=(sc.Default)" TargetMode="External"/><Relationship Id="r197" Type="http://schemas.openxmlformats.org/officeDocument/2006/relationships/hyperlink" Target="https://www.westlaw.com/Link/Document/FullText?findType=Y&amp;serNum=2001172281&amp;pubNum=0000780&amp;originatingDoc=I202ba230f9ec11eaa684fcd3f9c99774&amp;refType=RP&amp;fi=co_pp_sp_780_367&amp;originationContext=document&amp;vr=3.0&amp;rs=cblt1.0&amp;transitionType=DocumentItem&amp;contextData=(sc.Default)#co_pp_sp_780_367" TargetMode="External"/><Relationship Id="r201" Type="http://schemas.openxmlformats.org/officeDocument/2006/relationships/hyperlink" Target="https://www.westlaw.com/Link/Document/FullText?findType=L&amp;pubNum=1000546&amp;cite=28USCAS46&amp;originatingDoc=I202ba230f9ec11eaa684fcd3f9c99774&amp;refType=RB&amp;originationContext=document&amp;vr=3.0&amp;rs=cblt1.0&amp;transitionType=DocumentItem&amp;contextData=(sc.Default)#co_pp_5ba1000067d06" TargetMode="External"/><Relationship Id="r11" Type="http://schemas.openxmlformats.org/officeDocument/2006/relationships/hyperlink" Target="https://www.westlaw.com/Search/Results.html?query=advanced%3a+OAID(5026506592)&amp;saveJuris=False&amp;contentType=BUSINESS-INVESTIGATOR&amp;startIndex=1&amp;contextData=(sc.Default)&amp;categoryPageUrl=Home%2fCompanyInvestigator&amp;originationContext=document&amp;vr=3.0&amp;rs=cblt1.0&amp;transitionType=DocumentItem" TargetMode="External"/><Relationship Id="r103" Type="http://schemas.openxmlformats.org/officeDocument/2006/relationships/hyperlink" Target="https://www.westlaw.com/Link/RelatedInformation/DocHeadnoteLink?docGuid=I202ba230f9ec11eaa684fcd3f9c99774&amp;headnoteId=205188401502020230831142352&amp;originationContext=document&amp;vr=3.0&amp;rs=cblt1.0&amp;transitionType=CitingReferences&amp;contextData=(sc.Default)" TargetMode="External"/><Relationship Id="r124" Type="http://schemas.openxmlformats.org/officeDocument/2006/relationships/hyperlink" Target="https://www.westlaw.com/Link/Document/FullText?findType=L&amp;pubNum=1000891&amp;cite=CTA10R40.3&amp;originatingDoc=I202ba230f9ec11eaa684fcd3f9c99774&amp;refType=LQ&amp;originationContext=document&amp;vr=3.0&amp;rs=cblt1.0&amp;transitionType=DocumentItem&amp;contextData=(sc.Default)" TargetMode="External"/><Relationship Id="r145" Type="http://schemas.openxmlformats.org/officeDocument/2006/relationships/hyperlink" Target="https://www.westlaw.com/Link/Document/FullText?findType=Y&amp;serNum=2025741506&amp;pubNum=0000506&amp;originatingDoc=I202ba230f9ec11eaa684fcd3f9c99774&amp;refType=RP&amp;fi=co_pp_sp_506_1035&amp;originationContext=document&amp;vr=3.0&amp;rs=cblt1.0&amp;transitionType=DocumentItem&amp;contextData=(sc.Default)#co_pp_sp_506_1035" TargetMode="External"/><Relationship Id="r166" Type="http://schemas.openxmlformats.org/officeDocument/2006/relationships/hyperlink" Target="https://www.westlaw.com/Link/Document/FullText?findType=Y&amp;serNum=1996100847&amp;pubNum=0000506&amp;originatingDoc=I202ba230f9ec11eaa684fcd3f9c99774&amp;refType=RP&amp;fi=co_pp_sp_506_366&amp;originationContext=document&amp;vr=3.0&amp;rs=cblt1.0&amp;transitionType=DocumentItem&amp;contextData=(sc.Default)#co_pp_sp_506_366" TargetMode="External"/><Relationship Id="r32" Type="http://schemas.openxmlformats.org/officeDocument/2006/relationships/hyperlink" Target="https://www.westlaw.com/Browse/Home/KeyNumber/170Bk2113/View.html?docGuid=I202ba230f9ec11eaa684fcd3f9c99774&amp;originationContext=document&amp;vr=3.0&amp;rs=cblt1.0&amp;transitionType=DocumentItem&amp;contextData=(sc.Default)" TargetMode="External"/><Relationship Id="r53" Type="http://schemas.openxmlformats.org/officeDocument/2006/relationships/hyperlink" Target="https://www.westlaw.com/Browse/Home/KeyNumber/170Bk3604(4)/View.html?docGuid=I202ba230f9ec11eaa684fcd3f9c99774&amp;originationContext=document&amp;vr=3.0&amp;rs=cblt1.0&amp;transitionType=DocumentItem&amp;contextData=(sc.Default)" TargetMode="External"/><Relationship Id="r74" Type="http://schemas.openxmlformats.org/officeDocument/2006/relationships/hyperlink" Target="https://www.westlaw.com/Link/Document/FullText?findType=L&amp;pubNum=1000517&amp;cite=COSTS17-27-108&amp;originatingDoc=I202ba230f9ec11eaa684fcd3f9c99774&amp;refType=LQ&amp;originationContext=document&amp;vr=3.0&amp;rs=cblt1.0&amp;transitionType=DocumentItem&amp;contextData=(sc.Default)" TargetMode="External"/><Relationship Id="r95" Type="http://schemas.openxmlformats.org/officeDocument/2006/relationships/hyperlink" Target="https://www.westlaw.com/Browse/Home/KeyNumber/92k3052/View.html?docGuid=I202ba230f9ec11eaa684fcd3f9c99774&amp;originationContext=document&amp;vr=3.0&amp;rs=cblt1.0&amp;transitionType=DocumentItem&amp;contextData=(sc.Default)" TargetMode="External"/><Relationship Id="r187" Type="http://schemas.openxmlformats.org/officeDocument/2006/relationships/hyperlink" Target="https://www.westlaw.com/Link/Document/FullText?findType=L&amp;pubNum=1000517&amp;cite=COSTS17-27-108&amp;originatingDoc=I202ba230f9ec11eaa684fcd3f9c99774&amp;refType=SP&amp;originationContext=document&amp;vr=3.0&amp;rs=cblt1.0&amp;transitionType=DocumentItem&amp;contextData=(sc.Default)#co_pp_f1c50000821b0" TargetMode="External"/><Relationship Id="r212" Type="http://schemas.openxmlformats.org/officeDocument/2006/relationships/hyperlink" Target="https://www.westlaw.com/Link/Document/FullText?findType=Y&amp;serNum=1981137895&amp;pubNum=0000350&amp;originatingDoc=I202ba230f9ec11eaa684fcd3f9c99774&amp;refType=RP&amp;fi=co_pp_sp_350_1383&amp;originationContext=document&amp;vr=3.0&amp;rs=cblt1.0&amp;transitionType=DocumentItem&amp;contextData=(sc.Default)#co_pp_sp_350_1383" TargetMode="External"/><Relationship Id="r114" Type="http://schemas.openxmlformats.org/officeDocument/2006/relationships/hyperlink" Target="https://www.westlaw.com/Browse/Home/KeyNumber/170Bk3733/View.html?docGuid=I202ba230f9ec11eaa684fcd3f9c99774&amp;originationContext=document&amp;vr=3.0&amp;rs=cblt1.0&amp;transitionType=DocumentItem&amp;contextData=(sc.Default)" TargetMode="External"/><Relationship Id="r135" Type="http://schemas.openxmlformats.org/officeDocument/2006/relationships/hyperlink" Target="https://www.westlaw.com/Link/Document/FullText?entityType=disease&amp;entityId=Ic304d3b0475411db9765f9243f53508a&amp;originationContext=document&amp;transitionType=DocumentItem&amp;contextData=(sc.Default)&amp;vr=3.0&amp;rs=cblt1.0" TargetMode="External"/><Relationship Id="r156" Type="http://schemas.openxmlformats.org/officeDocument/2006/relationships/hyperlink" Target="https://www.westlaw.com/Link/Document/FullText?findType=Y&amp;serNum=1986133437&amp;pubNum=0000780&amp;originatingDoc=I202ba230f9ec11eaa684fcd3f9c99774&amp;refType=RP&amp;fi=co_pp_sp_780_6&amp;originationContext=document&amp;vr=3.0&amp;rs=cblt1.0&amp;transitionType=DocumentItem&amp;contextData=(sc.Default)#co_pp_sp_780_6" TargetMode="External"/><Relationship Id="r22"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43" Type="http://schemas.openxmlformats.org/officeDocument/2006/relationships/hyperlink" Target="https://www.westlaw.com/Link/Document/FullText?findType=L&amp;pubNum=1000546&amp;cite=29USCAS794&amp;originatingDoc=I202ba230f9ec11eaa684fcd3f9c99774&amp;refType=SP&amp;originationContext=document&amp;vr=3.0&amp;rs=cblt1.0&amp;transitionType=DocumentItem&amp;contextData=(sc.Default)#co_pp_8b3b0000958a4" TargetMode="External"/><Relationship Id="r64" Type="http://schemas.openxmlformats.org/officeDocument/2006/relationships/hyperlink" Target="https://www.westlaw.com/Link/Document/FullText?findType=L&amp;pubNum=1000517&amp;cite=COSTS17-27-103&amp;originatingDoc=I202ba230f9ec11eaa684fcd3f9c99774&amp;refType=LQ&amp;originationContext=document&amp;vr=3.0&amp;rs=cblt1.0&amp;transitionType=DocumentItem&amp;contextData=(sc.Default)" TargetMode="External"/><Relationship Id="r85" Type="http://schemas.openxmlformats.org/officeDocument/2006/relationships/hyperlink" Target="https://www.westlaw.com/Link/Document/FullText?findType=L&amp;pubNum=1000546&amp;cite=42USCAS12101&amp;originatingDoc=I202ba230f9ec11eaa684fcd3f9c99774&amp;refType=LQ&amp;originationContext=document&amp;vr=3.0&amp;rs=cblt1.0&amp;transitionType=DocumentItem&amp;contextData=(sc.Default)" TargetMode="External"/><Relationship Id="r177" Type="http://schemas.openxmlformats.org/officeDocument/2006/relationships/hyperlink" Target="https://www.westlaw.com/Link/Document/FullText?findType=Y&amp;serNum=2031621555&amp;pubNum=0000506&amp;originatingDoc=I202ba230f9ec11eaa684fcd3f9c99774&amp;refType=RP&amp;fi=co_pp_sp_506_909&amp;originationContext=document&amp;vr=3.0&amp;rs=cblt1.0&amp;transitionType=DocumentItem&amp;contextData=(sc.Default)#co_pp_sp_506_909" TargetMode="External"/><Relationship Id="r198" Type="http://schemas.openxmlformats.org/officeDocument/2006/relationships/hyperlink" Target="https://www.westlaw.com/Link/Document/FullText?findType=Y&amp;serNum=1992183756&amp;pubNum=0000350&amp;originatingDoc=I202ba230f9ec11eaa684fcd3f9c99774&amp;refType=RP&amp;fi=co_pp_sp_350_1420&amp;originationContext=document&amp;vr=3.0&amp;rs=cblt1.0&amp;transitionType=DocumentItem&amp;contextData=(sc.Default)#co_pp_sp_350_1420" TargetMode="External"/><Relationship Id="r202" Type="http://schemas.openxmlformats.org/officeDocument/2006/relationships/hyperlink" Target="https://www.westlaw.com/Link/Document/FullText?findType=L&amp;pubNum=1000517&amp;cite=COSTS17-27-103&amp;originatingDoc=I202ba230f9ec11eaa684fcd3f9c99774&amp;refType=SP&amp;originationContext=document&amp;vr=3.0&amp;rs=cblt1.0&amp;transitionType=DocumentItem&amp;contextData=(sc.Default)#co_pp_0bd500007a412" TargetMode="External"/><Relationship Id="r104" Type="http://schemas.openxmlformats.org/officeDocument/2006/relationships/hyperlink" Target="https://www.westlaw.com/Browse/Home/KeyNumber/92/View.html?docGuid=I202ba230f9ec11eaa684fcd3f9c99774&amp;originationContext=document&amp;vr=3.0&amp;rs=cblt1.0&amp;transitionType=DocumentItem&amp;contextData=(sc.Default)" TargetMode="External"/><Relationship Id="r125" Type="http://schemas.openxmlformats.org/officeDocument/2006/relationships/hyperlink" Target="https://www.westlaw.com/Link/Document/FullText?findType=L&amp;pubNum=1000599&amp;cite=USFRAPR35&amp;originatingDoc=I202ba230f9ec11eaa684fcd3f9c99774&amp;refType=LQ&amp;originationContext=document&amp;vr=3.0&amp;rs=cblt1.0&amp;transitionType=DocumentItem&amp;contextData=(sc.Default)" TargetMode="External"/><Relationship Id="r12" Type="http://schemas.openxmlformats.org/officeDocument/2006/relationships/hyperlink" Target="https://www.westlaw.com/Search/Results.html?query=advanced%3a+OAID(5026391800)&amp;saveJuris=False&amp;contentType=BUSINESS-INVESTIGATOR&amp;startIndex=1&amp;contextData=(sc.Default)&amp;categoryPageUrl=Home%2fCompanyInvestigator&amp;originationContext=document&amp;vr=3.0&amp;rs=cblt1.0&amp;transitionType=DocumentItem" TargetMode="External"/><Relationship Id="r33" Type="http://schemas.openxmlformats.org/officeDocument/2006/relationships/hyperlink" Target="https://www.westlaw.com/Link/RelatedInformation/DocHeadnoteLink?docGuid=I202ba230f9ec11eaa684fcd3f9c99774&amp;headnoteId=205188401500620230831142352&amp;originationContext=document&amp;vr=3.0&amp;rs=cblt1.0&amp;transitionType=CitingReferences&amp;contextData=(sc.Default)" TargetMode="External"/><Relationship Id="r54"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75" Type="http://schemas.openxmlformats.org/officeDocument/2006/relationships/hyperlink" Target="https://www.westlaw.com/Link/Document/FullText?findType=L&amp;pubNum=1000547&amp;cite=28CFRS35.130&amp;originatingDoc=I202ba230f9ec11eaa684fcd3f9c99774&amp;refType=LQ&amp;originationContext=document&amp;vr=3.0&amp;rs=cblt1.0&amp;transitionType=DocumentItem&amp;contextData=(sc.Default)" TargetMode="External"/><Relationship Id="r96" Type="http://schemas.openxmlformats.org/officeDocument/2006/relationships/hyperlink" Target="https://www.westlaw.com/Link/Document/FullText?findType=L&amp;pubNum=1000583&amp;cite=USCOAMENDXIV&amp;originatingDoc=I202ba230f9ec11eaa684fcd3f9c99774&amp;refType=LQ&amp;originationContext=document&amp;vr=3.0&amp;rs=cblt1.0&amp;transitionType=DocumentItem&amp;contextData=(sc.Default)" TargetMode="External"/><Relationship Id="r146" Type="http://schemas.openxmlformats.org/officeDocument/2006/relationships/hyperlink" Target="https://www.westlaw.com/Link/Document/FullText?findType=Y&amp;serNum=1999191046&amp;pubNum=0000506&amp;originatingDoc=I202ba230f9ec11eaa684fcd3f9c99774&amp;refType=RP&amp;originationContext=document&amp;vr=3.0&amp;rs=cblt1.0&amp;transitionType=DocumentItem&amp;contextData=(sc.Default)" TargetMode="External"/><Relationship Id="r167" Type="http://schemas.openxmlformats.org/officeDocument/2006/relationships/hyperlink" Target="https://www.westlaw.com/Link/Document/FullText?findType=Y&amp;serNum=2048684144&amp;pubNum=0000506&amp;originatingDoc=I202ba230f9ec11eaa684fcd3f9c99774&amp;refType=RP&amp;fi=co_pp_sp_506_1234&amp;originationContext=document&amp;vr=3.0&amp;rs=cblt1.0&amp;transitionType=DocumentItem&amp;contextData=(sc.Default)#co_pp_sp_506_1234" TargetMode="External"/><Relationship Id="r188" Type="http://schemas.openxmlformats.org/officeDocument/2006/relationships/hyperlink" Target="https://www.westlaw.com/Link/Document/FullText?findType=L&amp;pubNum=1000517&amp;cite=COSTS17-27-108&amp;originatingDoc=I202ba230f9ec11eaa684fcd3f9c99774&amp;refType=SP&amp;originationContext=document&amp;vr=3.0&amp;rs=cblt1.0&amp;transitionType=DocumentItem&amp;contextData=(sc.Default)#co_pp_58730000872b1" TargetMode="External"/><Relationship Id="r213" Type="http://schemas.openxmlformats.org/officeDocument/2006/relationships/hyperlink" Target="https://www.westlaw.com/Link/Document/FullText?findType=Y&amp;serNum=1989089479&amp;pubNum=0000780&amp;originatingDoc=I202ba230f9ec11eaa684fcd3f9c99774&amp;refType=RP&amp;fi=co_pp_sp_780_71&amp;originationContext=document&amp;vr=3.0&amp;rs=cblt1.0&amp;transitionType=DocumentItem&amp;contextData=(sc.Default)#co_pp_sp_780_71" TargetMode="External"/><Relationship Id="r28"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115" Type="http://schemas.openxmlformats.org/officeDocument/2006/relationships/hyperlink" Target="https://www.westlaw.com/Link/RelatedInformation/DocHeadnoteLink?docGuid=I202ba230f9ec11eaa684fcd3f9c99774&amp;headnoteId=205188401502220230831142352&amp;originationContext=document&amp;vr=3.0&amp;rs=cblt1.0&amp;transitionType=CitingReferences&amp;contextData=(sc.Default)" TargetMode="External"/><Relationship Id="r1" Type="http://schemas.openxmlformats.org/officeDocument/2006/relationships/settings" Target="settings.xml"/><Relationship Id="r6" Type="http://schemas.openxmlformats.org/officeDocument/2006/relationships/footer" Target="footer1.xml"/><Relationship Id="r23" Type="http://schemas.openxmlformats.org/officeDocument/2006/relationships/hyperlink" Target="https://www.westlaw.com/Browse/Home/KeyNumber/170BII/View.html?docGuid=I202ba230f9ec11eaa684fcd3f9c99774&amp;originationContext=document&amp;vr=3.0&amp;rs=cblt1.0&amp;transitionType=DocumentItem&amp;contextData=(sc.Default)" TargetMode="External"/><Relationship Id="r44" Type="http://schemas.openxmlformats.org/officeDocument/2006/relationships/hyperlink" Target="https://www.westlaw.com/Link/Document/FullText?findType=L&amp;pubNum=1000546&amp;cite=42USCAS12132&amp;originatingDoc=I202ba230f9ec11eaa684fcd3f9c99774&amp;refType=LQ&amp;originationContext=document&amp;vr=3.0&amp;rs=cblt1.0&amp;transitionType=DocumentItem&amp;contextData=(sc.Default)" TargetMode="External"/><Relationship Id="r49"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65" Type="http://schemas.openxmlformats.org/officeDocument/2006/relationships/hyperlink" Target="https://www.westlaw.com/Link/Document/FullText?findType=L&amp;pubNum=1000517&amp;cite=COSTS17-27-108&amp;originatingDoc=I202ba230f9ec11eaa684fcd3f9c99774&amp;refType=LQ&amp;originationContext=document&amp;vr=3.0&amp;rs=cblt1.0&amp;transitionType=DocumentItem&amp;contextData=(sc.Default)" TargetMode="External"/><Relationship Id="r86" Type="http://schemas.openxmlformats.org/officeDocument/2006/relationships/hyperlink" Target="https://www.westlaw.com/Browse/Home/KeyNumber/92/View.html?docGuid=I202ba230f9ec11eaa684fcd3f9c99774&amp;originationContext=document&amp;vr=3.0&amp;rs=cblt1.0&amp;transitionType=DocumentItem&amp;contextData=(sc.Default)" TargetMode="External"/><Relationship Id="r110" Type="http://schemas.openxmlformats.org/officeDocument/2006/relationships/hyperlink" Target="https://www.westlaw.com/Link/Document/FullText?findType=L&amp;pubNum=1000517&amp;cite=COSTS17-27-103&amp;originatingDoc=I202ba230f9ec11eaa684fcd3f9c99774&amp;refType=LQ&amp;originationContext=document&amp;vr=3.0&amp;rs=cblt1.0&amp;transitionType=DocumentItem&amp;contextData=(sc.Default)" TargetMode="External"/><Relationship Id="r131" Type="http://schemas.openxmlformats.org/officeDocument/2006/relationships/hyperlink" Target="https://www.westlaw.com/Link/Document/FullText?findType=L&amp;pubNum=1000517&amp;cite=COSTS17-27-108&amp;originatingDoc=I202ba230f9ec11eaa684fcd3f9c99774&amp;refType=SP&amp;originationContext=document&amp;vr=3.0&amp;rs=cblt1.0&amp;transitionType=DocumentItem&amp;contextData=(sc.Default)#co_pp_58730000872b1" TargetMode="External"/><Relationship Id="r136" Type="http://schemas.openxmlformats.org/officeDocument/2006/relationships/hyperlink" Target="https://www.westlaw.com/Link/Document/FullText?findType=Y&amp;serNum=2021801122&amp;pubNum=0000506&amp;originatingDoc=I202ba230f9ec11eaa684fcd3f9c99774&amp;refType=RP&amp;fi=co_pp_sp_506_1109&amp;originationContext=document&amp;vr=3.0&amp;rs=cblt1.0&amp;transitionType=DocumentItem&amp;contextData=(sc.Default)#co_pp_sp_506_1109" TargetMode="External"/><Relationship Id="r152" Type="http://schemas.openxmlformats.org/officeDocument/2006/relationships/hyperlink" Target="https://www.westlaw.com/Link/Document/FullText?findType=Y&amp;serNum=1973126316&amp;pubNum=0000780&amp;originatingDoc=I202ba230f9ec11eaa684fcd3f9c99774&amp;refType=RP&amp;fi=co_pp_sp_780_125&amp;originationContext=document&amp;vr=3.0&amp;rs=cblt1.0&amp;transitionType=DocumentItem&amp;contextData=(sc.Default)#co_pp_sp_780_125" TargetMode="External"/><Relationship Id="r157" Type="http://schemas.openxmlformats.org/officeDocument/2006/relationships/hyperlink" Target="https://www.westlaw.com/Link/Document/FullText?findType=Y&amp;serNum=1975129867&amp;pubNum=0000780&amp;originatingDoc=I202ba230f9ec11eaa684fcd3f9c99774&amp;refType=RP&amp;fi=co_pp_sp_780_149&amp;originationContext=document&amp;vr=3.0&amp;rs=cblt1.0&amp;transitionType=DocumentItem&amp;contextData=(sc.Default)#co_pp_sp_780_149" TargetMode="External"/><Relationship Id="r173" Type="http://schemas.openxmlformats.org/officeDocument/2006/relationships/hyperlink" Target="https://www.westlaw.com/Link/Document/FullText?findType=L&amp;pubNum=1000546&amp;cite=42USCAS12132&amp;originatingDoc=I202ba230f9ec11eaa684fcd3f9c99774&amp;refType=LQ&amp;originationContext=document&amp;vr=3.0&amp;rs=cblt1.0&amp;transitionType=DocumentItem&amp;contextData=(sc.Default)" TargetMode="External"/><Relationship Id="r178" Type="http://schemas.openxmlformats.org/officeDocument/2006/relationships/hyperlink" Target="https://www.westlaw.com/Link/Document/FullText?findType=Y&amp;serNum=2003402898&amp;pubNum=0000506&amp;originatingDoc=I202ba230f9ec11eaa684fcd3f9c99774&amp;refType=RP&amp;fi=co_pp_sp_506_286&amp;originationContext=document&amp;vr=3.0&amp;rs=cblt1.0&amp;transitionType=DocumentItem&amp;contextData=(sc.Default)#co_pp_sp_506_286" TargetMode="External"/><Relationship Id="r199" Type="http://schemas.openxmlformats.org/officeDocument/2006/relationships/hyperlink" Target="https://www.westlaw.com/Link/Document/FullText?findType=Y&amp;serNum=2036903641&amp;pubNum=0000506&amp;originatingDoc=I202ba230f9ec11eaa684fcd3f9c99774&amp;refType=RP&amp;fi=co_pp_sp_506_1017&amp;originationContext=document&amp;vr=3.0&amp;rs=cblt1.0&amp;transitionType=DocumentItem&amp;contextData=(sc.Default)#co_pp_sp_506_1017" TargetMode="External"/><Relationship Id="r208" Type="http://schemas.openxmlformats.org/officeDocument/2006/relationships/hyperlink" Target="https://www.westlaw.com/Link/Document/FullText?findType=Y&amp;serNum=2018599149&amp;pubNum=0000506&amp;originatingDoc=I202ba230f9ec11eaa684fcd3f9c99774&amp;refType=RP&amp;fi=co_pp_sp_506_1228&amp;originationContext=document&amp;vr=3.0&amp;rs=cblt1.0&amp;transitionType=DocumentItem&amp;contextData=(sc.Default)#co_pp_sp_506_1228" TargetMode="External"/><Relationship Id="r60" Type="http://schemas.openxmlformats.org/officeDocument/2006/relationships/hyperlink" Target="https://www.westlaw.com/Browse/Home/KeyNumber/78/View.html?docGuid=I202ba230f9ec11eaa684fcd3f9c99774&amp;originationContext=document&amp;vr=3.0&amp;rs=cblt1.0&amp;transitionType=DocumentItem&amp;contextData=(sc.Default)" TargetMode="External"/><Relationship Id="r81" Type="http://schemas.openxmlformats.org/officeDocument/2006/relationships/hyperlink" Target="https://www.westlaw.com/Link/Document/FullText?findType=L&amp;pubNum=1000546&amp;cite=42USCAS12132&amp;originatingDoc=I202ba230f9ec11eaa684fcd3f9c99774&amp;refType=LQ&amp;originationContext=document&amp;vr=3.0&amp;rs=cblt1.0&amp;transitionType=DocumentItem&amp;contextData=(sc.Default)" TargetMode="External"/><Relationship Id="r194" Type="http://schemas.openxmlformats.org/officeDocument/2006/relationships/hyperlink" Target="https://www.westlaw.com/Link/Document/FullText?findType=Y&amp;serNum=1985133474&amp;pubNum=0000780&amp;originatingDoc=I202ba230f9ec11eaa684fcd3f9c99774&amp;refType=RP&amp;fi=co_pp_sp_780_440&amp;originationContext=document&amp;vr=3.0&amp;rs=cblt1.0&amp;transitionType=DocumentItem&amp;contextData=(sc.Default)#co_pp_sp_780_440" TargetMode="External"/><Relationship Id="r203" Type="http://schemas.openxmlformats.org/officeDocument/2006/relationships/hyperlink" Target="https://www.westlaw.com/Link/Document/FullText?findType=Y&amp;serNum=1999085658&amp;pubNum=0000506&amp;originatingDoc=I202ba230f9ec11eaa684fcd3f9c99774&amp;refType=RP&amp;fi=co_pp_sp_506_1306&amp;originationContext=document&amp;vr=3.0&amp;rs=cblt1.0&amp;transitionType=DocumentItem&amp;contextData=(sc.Default)#co_pp_sp_506_1306" TargetMode="External"/><Relationship Id="rId3" Type="http://schemas.openxmlformats.org/officeDocument/2006/relationships/customXml" Target="customXml/item3.xml"/><Relationship Id="r105" Type="http://schemas.openxmlformats.org/officeDocument/2006/relationships/hyperlink" Target="https://www.westlaw.com/Browse/Home/KeyNumber/92k3172/View.html?docGuid=I202ba230f9ec11eaa684fcd3f9c99774&amp;originationContext=document&amp;vr=3.0&amp;rs=cblt1.0&amp;transitionType=DocumentItem&amp;contextData=(sc.Default)" TargetMode="External"/><Relationship Id="r13" Type="http://schemas.openxmlformats.org/officeDocument/2006/relationships/hyperlink" Target="https://www.westlaw.com/Search/Results.html?query=advanced%3a+OAID(5054031535)&amp;saveJuris=False&amp;contentType=BUSINESS-INVESTIGATOR&amp;startIndex=1&amp;contextData=(sc.Default)&amp;categoryPageUrl=Home%2fCompanyInvestigator&amp;originationContext=document&amp;vr=3.0&amp;rs=cblt1.0&amp;transitionType=DocumentItem" TargetMode="External"/><Relationship Id="r18"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34"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39" Type="http://schemas.openxmlformats.org/officeDocument/2006/relationships/hyperlink" Target="https://www.westlaw.com/Link/RelatedInformation/DocHeadnoteLink?docGuid=I202ba230f9ec11eaa684fcd3f9c99774&amp;headnoteId=205188401500820230831142352&amp;originationContext=document&amp;vr=3.0&amp;rs=cblt1.0&amp;transitionType=CitingReferences&amp;contextData=(sc.Default)" TargetMode="External"/><Relationship Id="r55" Type="http://schemas.openxmlformats.org/officeDocument/2006/relationships/hyperlink" Target="https://www.westlaw.com/Browse/Home/KeyNumber/170Bk3675/View.html?docGuid=I202ba230f9ec11eaa684fcd3f9c99774&amp;originationContext=document&amp;vr=3.0&amp;rs=cblt1.0&amp;transitionType=DocumentItem&amp;contextData=(sc.Default)" TargetMode="External"/><Relationship Id="r100" Type="http://schemas.openxmlformats.org/officeDocument/2006/relationships/hyperlink" Target="https://www.westlaw.com/Browse/Home/KeyNumber/92/View.html?docGuid=I202ba230f9ec11eaa684fcd3f9c99774&amp;originationContext=document&amp;vr=3.0&amp;rs=cblt1.0&amp;transitionType=DocumentItem&amp;contextData=(sc.Default)" TargetMode="External"/><Relationship Id="r121" Type="http://schemas.openxmlformats.org/officeDocument/2006/relationships/hyperlink" Target="https://www.westlaw.com/Link/Document/FullText?findType=h&amp;pubNum=176284&amp;cite=0256344001&amp;originatingDoc=I202ba230f9ec11eaa684fcd3f9c99774&amp;refType=RQ&amp;originationContext=document&amp;vr=3.0&amp;rs=cblt1.0&amp;transitionType=DocumentItem&amp;contextData=(sc.Default)" TargetMode="External"/><Relationship Id="r126" Type="http://schemas.openxmlformats.org/officeDocument/2006/relationships/hyperlink" Target="https://www.westlaw.com/Link/Document/FullText?findType=h&amp;pubNum=176284&amp;cite=0312952701&amp;originatingDoc=I202ba230f9ec11eaa684fcd3f9c99774&amp;refType=RQ&amp;originationContext=document&amp;vr=3.0&amp;rs=cblt1.0&amp;transitionType=DocumentItem&amp;contextData=(sc.Default)" TargetMode="External"/><Relationship Id="r142" Type="http://schemas.openxmlformats.org/officeDocument/2006/relationships/hyperlink" Target="https://www.westlaw.com/Link/Document/FullText?findType=Y&amp;serNum=2025741506&amp;pubNum=0000506&amp;originatingDoc=I202ba230f9ec11eaa684fcd3f9c99774&amp;refType=RP&amp;fi=co_pp_sp_506_1034&amp;originationContext=document&amp;vr=3.0&amp;rs=cblt1.0&amp;transitionType=DocumentItem&amp;contextData=(sc.Default)#co_pp_sp_506_1034" TargetMode="External"/><Relationship Id="r147" Type="http://schemas.openxmlformats.org/officeDocument/2006/relationships/hyperlink" Target="https://www.westlaw.com/Link/Document/FullText?findType=Y&amp;serNum=1975129867&amp;pubNum=0000780&amp;originatingDoc=I202ba230f9ec11eaa684fcd3f9c99774&amp;refType=RP&amp;fi=co_pp_sp_780_149&amp;originationContext=document&amp;vr=3.0&amp;rs=cblt1.0&amp;transitionType=DocumentItem&amp;contextData=(sc.Default)#co_pp_sp_780_149" TargetMode="External"/><Relationship Id="r163" Type="http://schemas.openxmlformats.org/officeDocument/2006/relationships/hyperlink" Target="https://www.westlaw.com/Link/Document/FullText?findType=Y&amp;serNum=2019219905&amp;pubNum=0000506&amp;originatingDoc=I202ba230f9ec11eaa684fcd3f9c99774&amp;refType=RP&amp;originationContext=document&amp;vr=3.0&amp;rs=cblt1.0&amp;transitionType=DocumentItem&amp;contextData=(sc.Default)" TargetMode="External"/><Relationship Id="r168" Type="http://schemas.openxmlformats.org/officeDocument/2006/relationships/hyperlink" Target="https://www.westlaw.com/Link/Document/FullText?findType=Y&amp;serNum=2050368019&amp;pubNum=0000506&amp;originatingDoc=I202ba230f9ec11eaa684fcd3f9c99774&amp;refType=RP&amp;fi=co_pp_sp_506_643&amp;originationContext=document&amp;vr=3.0&amp;rs=cblt1.0&amp;transitionType=DocumentItem&amp;contextData=(sc.Default)#co_pp_sp_506_643" TargetMode="External"/><Relationship Id="r189" Type="http://schemas.openxmlformats.org/officeDocument/2006/relationships/hyperlink" Target="https://www.westlaw.com/Link/Document/Blob/I83eb2c40fbc811ea903cced0b588607a.png?originationContext=document&amp;vr=3.0&amp;rs=cblt1.0&amp;transitionType=DocumentImage&amp;contextData=(sc.Default)" TargetMode="External"/><Relationship Id="r50" Type="http://schemas.openxmlformats.org/officeDocument/2006/relationships/hyperlink" Target="https://www.westlaw.com/Browse/Home/KeyNumber/170Bk2113/View.html?docGuid=I202ba230f9ec11eaa684fcd3f9c99774&amp;originationContext=document&amp;vr=3.0&amp;rs=cblt1.0&amp;transitionType=DocumentItem&amp;contextData=(sc.Default)" TargetMode="External"/><Relationship Id="r71" Type="http://schemas.openxmlformats.org/officeDocument/2006/relationships/hyperlink" Target="https://www.westlaw.com/Link/Document/FullText?findType=L&amp;pubNum=1000546&amp;cite=42USCAS12182&amp;originatingDoc=I202ba230f9ec11eaa684fcd3f9c99774&amp;refType=SP&amp;originationContext=document&amp;vr=3.0&amp;rs=cblt1.0&amp;transitionType=DocumentItem&amp;contextData=(sc.Default)#co_pp_8b16000077793" TargetMode="External"/><Relationship Id="r76" Type="http://schemas.openxmlformats.org/officeDocument/2006/relationships/hyperlink" Target="https://www.westlaw.com/Link/Document/FullText?findType=L&amp;pubNum=1000547&amp;cite=28CFRS42.503&amp;originatingDoc=I202ba230f9ec11eaa684fcd3f9c99774&amp;refType=LQ&amp;originationContext=document&amp;vr=3.0&amp;rs=cblt1.0&amp;transitionType=DocumentItem&amp;contextData=(sc.Default)" TargetMode="External"/><Relationship Id="r92" Type="http://schemas.openxmlformats.org/officeDocument/2006/relationships/hyperlink" Target="https://www.westlaw.com/Browse/Home/KeyNumber/92/View.html?docGuid=I202ba230f9ec11eaa684fcd3f9c99774&amp;originationContext=document&amp;vr=3.0&amp;rs=cblt1.0&amp;transitionType=DocumentItem&amp;contextData=(sc.Default)" TargetMode="External"/><Relationship Id="r97" Type="http://schemas.openxmlformats.org/officeDocument/2006/relationships/hyperlink" Target="https://www.westlaw.com/Link/RelatedInformation/DocHeadnoteLink?docGuid=I202ba230f9ec11eaa684fcd3f9c99774&amp;headnoteId=205188401501920230831142352&amp;originationContext=document&amp;vr=3.0&amp;rs=cblt1.0&amp;transitionType=CitingReferences&amp;contextData=(sc.Default)" TargetMode="External"/><Relationship Id="r184" Type="http://schemas.openxmlformats.org/officeDocument/2006/relationships/hyperlink" Target="https://www.westlaw.com/Link/Document/FullText?findType=Y&amp;serNum=2029708893&amp;pubNum=0006538&amp;originatingDoc=I202ba230f9ec11eaa684fcd3f9c99774&amp;refType=RP&amp;fi=co_pp_sp_6538_753&amp;originationContext=document&amp;vr=3.0&amp;rs=cblt1.0&amp;transitionType=DocumentItem&amp;contextData=(sc.Default)#co_pp_sp_6538_753" TargetMode="External"/><Relationship Id="r214" Type="http://schemas.openxmlformats.org/officeDocument/2006/relationships/hyperlink" Target="https://www.westlaw.com/Link/Document/FullText?findType=Y&amp;serNum=1998129476&amp;pubNum=0000780&amp;originatingDoc=I202ba230f9ec11eaa684fcd3f9c99774&amp;refType=RP&amp;fi=co_pp_sp_780_389&amp;originationContext=document&amp;vr=3.0&amp;rs=cblt1.0&amp;transitionType=DocumentItem&amp;contextData=(sc.Default)#co_pp_sp_780_389" TargetMode="External"/><Relationship Id="r2" Type="http://schemas.openxmlformats.org/officeDocument/2006/relationships/fontTable" Target="fonts.xml"/><Relationship Id="r7" Type="http://schemas.openxmlformats.org/officeDocument/2006/relationships/hyperlink" Target="https://www.westlaw.com/Search/Results.html?query=advanced%3a+OAID(5009390229)&amp;saveJuris=False&amp;contentType=BUSINESS-INVESTIGATOR&amp;startIndex=1&amp;contextData=(sc.Default)&amp;categoryPageUrl=Home%2fCompanyInvestigator&amp;originationContext=document&amp;vr=3.0&amp;rs=cblt1.0&amp;transitionType=DocumentItem" TargetMode="External"/><Relationship Id="r24"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29" Type="http://schemas.openxmlformats.org/officeDocument/2006/relationships/hyperlink" Target="https://www.westlaw.com/Browse/Home/KeyNumber/170Bk2113/View.html?docGuid=I202ba230f9ec11eaa684fcd3f9c99774&amp;originationContext=document&amp;vr=3.0&amp;rs=cblt1.0&amp;transitionType=DocumentItem&amp;contextData=(sc.Default)" TargetMode="External"/><Relationship Id="r45" Type="http://schemas.openxmlformats.org/officeDocument/2006/relationships/hyperlink" Target="https://www.westlaw.com/Link/Document/FullText?findType=L&amp;pubNum=1000517&amp;cite=COSTS17-27-101&amp;originatingDoc=I202ba230f9ec11eaa684fcd3f9c99774&amp;refType=LQ&amp;originationContext=document&amp;vr=3.0&amp;rs=cblt1.0&amp;transitionType=DocumentItem&amp;contextData=(sc.Default)" TargetMode="External"/><Relationship Id="r111" Type="http://schemas.openxmlformats.org/officeDocument/2006/relationships/hyperlink" Target="https://www.westlaw.com/Link/Document/FullText?findType=L&amp;pubNum=1000517&amp;cite=COSTS17-27-108&amp;originatingDoc=I202ba230f9ec11eaa684fcd3f9c99774&amp;refType=LQ&amp;originationContext=document&amp;vr=3.0&amp;rs=cblt1.0&amp;transitionType=DocumentItem&amp;contextData=(sc.Default)" TargetMode="External"/><Relationship Id="r116"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132" Type="http://schemas.openxmlformats.org/officeDocument/2006/relationships/hyperlink" Target="https://www.westlaw.com/Link/Document/Blob/I83e9ccb0fbc811ea903cced0b588607a.png?originationContext=document&amp;vr=3.0&amp;rs=cblt1.0&amp;transitionType=DocumentImage&amp;contextData=(sc.Default)" TargetMode="External"/><Relationship Id="r137" Type="http://schemas.openxmlformats.org/officeDocument/2006/relationships/hyperlink" Target="https://www.westlaw.com/Link/Document/FullText?findType=Y&amp;serNum=1975129828&amp;pubNum=0000780&amp;originatingDoc=I202ba230f9ec11eaa684fcd3f9c99774&amp;refType=RP&amp;fi=co_pp_sp_780_401&amp;originationContext=document&amp;vr=3.0&amp;rs=cblt1.0&amp;transitionType=DocumentItem&amp;contextData=(sc.Default)#co_pp_sp_780_401" TargetMode="External"/><Relationship Id="r158" Type="http://schemas.openxmlformats.org/officeDocument/2006/relationships/hyperlink" Target="https://www.westlaw.com/Link/Document/FullText?findType=Y&amp;serNum=2007691735&amp;pubNum=0000506&amp;originatingDoc=I202ba230f9ec11eaa684fcd3f9c99774&amp;refType=RP&amp;fi=co_pp_sp_506_848&amp;originationContext=document&amp;vr=3.0&amp;rs=cblt1.0&amp;transitionType=DocumentItem&amp;contextData=(sc.Default)#co_pp_sp_506_848" TargetMode="External"/><Relationship Id="r179" Type="http://schemas.openxmlformats.org/officeDocument/2006/relationships/hyperlink" Target="https://www.westlaw.com/Link/Document/FullText?findType=Y&amp;serNum=2031621555&amp;pubNum=0000506&amp;originatingDoc=I202ba230f9ec11eaa684fcd3f9c99774&amp;refType=RP&amp;fi=co_pp_sp_506_910&amp;originationContext=document&amp;vr=3.0&amp;rs=cblt1.0&amp;transitionType=DocumentItem&amp;contextData=(sc.Default)#co_pp_sp_506_910" TargetMode="External"/><Relationship Id="r40" Type="http://schemas.openxmlformats.org/officeDocument/2006/relationships/hyperlink" Target="https://www.westlaw.com/Browse/Home/KeyNumber/118A/View.html?docGuid=I202ba230f9ec11eaa684fcd3f9c99774&amp;originationContext=document&amp;vr=3.0&amp;rs=cblt1.0&amp;transitionType=DocumentItem&amp;contextData=(sc.Default)" TargetMode="External"/><Relationship Id="r61" Type="http://schemas.openxmlformats.org/officeDocument/2006/relationships/hyperlink" Target="https://www.westlaw.com/Browse/Home/KeyNumber/78k1089/View.html?docGuid=I202ba230f9ec11eaa684fcd3f9c99774&amp;originationContext=document&amp;vr=3.0&amp;rs=cblt1.0&amp;transitionType=DocumentItem&amp;contextData=(sc.Default)" TargetMode="External"/><Relationship Id="r66" Type="http://schemas.openxmlformats.org/officeDocument/2006/relationships/hyperlink" Target="https://www.westlaw.com/Link/RelatedInformation/DocHeadnoteLink?docGuid=I202ba230f9ec11eaa684fcd3f9c99774&amp;headnoteId=205188401501320230831142352&amp;originationContext=document&amp;vr=3.0&amp;rs=cblt1.0&amp;transitionType=CitingReferences&amp;contextData=(sc.Default)" TargetMode="External"/><Relationship Id="r82" Type="http://schemas.openxmlformats.org/officeDocument/2006/relationships/hyperlink" Target="https://www.westlaw.com/Browse/Home/KeyNumber/78/View.html?docGuid=I202ba230f9ec11eaa684fcd3f9c99774&amp;originationContext=document&amp;vr=3.0&amp;rs=cblt1.0&amp;transitionType=DocumentItem&amp;contextData=(sc.Default)" TargetMode="External"/><Relationship Id="r87" Type="http://schemas.openxmlformats.org/officeDocument/2006/relationships/hyperlink" Target="https://www.westlaw.com/Browse/Home/KeyNumber/92k3073/View.html?docGuid=I202ba230f9ec11eaa684fcd3f9c99774&amp;originationContext=document&amp;vr=3.0&amp;rs=cblt1.0&amp;transitionType=DocumentItem&amp;contextData=(sc.Default)" TargetMode="External"/><Relationship Id="r153" Type="http://schemas.openxmlformats.org/officeDocument/2006/relationships/hyperlink" Target="https://www.westlaw.com/Link/Document/FullText?findType=Y&amp;serNum=1992022716&amp;pubNum=0000780&amp;originatingDoc=I202ba230f9ec11eaa684fcd3f9c99774&amp;refType=RP&amp;originationContext=document&amp;vr=3.0&amp;rs=cblt1.0&amp;transitionType=DocumentItem&amp;contextData=(sc.Default)" TargetMode="External"/><Relationship Id="r174" Type="http://schemas.openxmlformats.org/officeDocument/2006/relationships/hyperlink" Target="https://www.westlaw.com/Link/Document/FullText?findType=L&amp;pubNum=1000546&amp;cite=29USCAS794&amp;originatingDoc=I202ba230f9ec11eaa684fcd3f9c99774&amp;refType=RB&amp;originationContext=document&amp;vr=3.0&amp;rs=cblt1.0&amp;transitionType=DocumentItem&amp;contextData=(sc.Default)#co_pp_8b3b0000958a4" TargetMode="External"/><Relationship Id="r190" Type="http://schemas.openxmlformats.org/officeDocument/2006/relationships/hyperlink" Target="https://www.westlaw.com/Link/Document/Blob/I83eb2c40fbc811ea903cced0b588607a.png?originationContext=document&amp;vr=3.0&amp;rs=cblt1.0&amp;transitionType=DocumentImage&amp;contextData=(sc.Default)" TargetMode="External"/><Relationship Id="r195" Type="http://schemas.openxmlformats.org/officeDocument/2006/relationships/hyperlink" Target="https://www.westlaw.com/Link/Document/FullText?findType=Y&amp;serNum=2014512040&amp;pubNum=0000506&amp;originatingDoc=I202ba230f9ec11eaa684fcd3f9c99774&amp;refType=RP&amp;fi=co_pp_sp_506_1083&amp;originationContext=document&amp;vr=3.0&amp;rs=cblt1.0&amp;transitionType=DocumentItem&amp;contextData=(sc.Default)#co_pp_sp_506_1083" TargetMode="External"/><Relationship Id="r204" Type="http://schemas.openxmlformats.org/officeDocument/2006/relationships/hyperlink" Target="https://www.westlaw.com/Link/Document/FullText?findType=Y&amp;serNum=2029708893&amp;pubNum=0006538&amp;originatingDoc=I202ba230f9ec11eaa684fcd3f9c99774&amp;refType=RP&amp;originationContext=document&amp;vr=3.0&amp;rs=cblt1.0&amp;transitionType=DocumentItem&amp;contextData=(sc.Default)" TargetMode="External"/><Relationship Id="r209" Type="http://schemas.openxmlformats.org/officeDocument/2006/relationships/hyperlink" Target="https://www.westlaw.com/Link/Document/FullText?findType=Y&amp;serNum=2048273919&amp;pubNum=0000506&amp;originatingDoc=I202ba230f9ec11eaa684fcd3f9c99774&amp;refType=RP&amp;fi=co_pp_sp_506_1108&amp;originationContext=document&amp;vr=3.0&amp;rs=cblt1.0&amp;transitionType=DocumentItem&amp;contextData=(sc.Default)#co_pp_sp_506_1108" TargetMode="External"/><Relationship Id="r14" Type="http://schemas.openxmlformats.org/officeDocument/2006/relationships/hyperlink" Target="https://www.westlaw.com/Link/Document/FullText?findType=h&amp;pubNum=176284&amp;cite=0183307301&amp;originatingDoc=I202ba230f9ec11eaa684fcd3f9c99774&amp;refType=RQ&amp;originationContext=document&amp;vr=3.0&amp;rs=cblt1.0&amp;transitionType=DocumentItem&amp;contextData=(sc.Default)" TargetMode="External"/><Relationship Id="r35" Type="http://schemas.openxmlformats.org/officeDocument/2006/relationships/hyperlink" Target="https://www.westlaw.com/Browse/Home/KeyNumber/170Bk2113/View.html?docGuid=I202ba230f9ec11eaa684fcd3f9c99774&amp;originationContext=document&amp;vr=3.0&amp;rs=cblt1.0&amp;transitionType=DocumentItem&amp;contextData=(sc.Default)" TargetMode="External"/><Relationship Id="r106" Type="http://schemas.openxmlformats.org/officeDocument/2006/relationships/hyperlink" Target="https://www.westlaw.com/Browse/Home/KeyNumber/310/View.html?docGuid=I202ba230f9ec11eaa684fcd3f9c99774&amp;originationContext=document&amp;vr=3.0&amp;rs=cblt1.0&amp;transitionType=DocumentItem&amp;contextData=(sc.Default)" TargetMode="External"/><Relationship Id="r127" Type="http://schemas.openxmlformats.org/officeDocument/2006/relationships/hyperlink" Target="https://www.westlaw.com/Link/Document/FullText?findType=L&amp;pubNum=1000517&amp;cite=COSTS17-27-101&amp;originatingDoc=I202ba230f9ec11eaa684fcd3f9c99774&amp;refType=LQ&amp;originationContext=document&amp;vr=3.0&amp;rs=cblt1.0&amp;transitionType=DocumentItem&amp;contextData=(sc.Default)" TargetMode="External"/><Relationship Id="r148" Type="http://schemas.openxmlformats.org/officeDocument/2006/relationships/hyperlink" Target="https://www.westlaw.com/Link/Document/FullText?findType=Y&amp;serNum=1973126316&amp;pubNum=0000780&amp;originatingDoc=I202ba230f9ec11eaa684fcd3f9c99774&amp;refType=RP&amp;fi=co_pp_sp_780_125&amp;originationContext=document&amp;vr=3.0&amp;rs=cblt1.0&amp;transitionType=DocumentItem&amp;contextData=(sc.Default)#co_pp_sp_780_125" TargetMode="External"/><Relationship Id="r169" Type="http://schemas.openxmlformats.org/officeDocument/2006/relationships/hyperlink" Target="https://www.westlaw.com/Link/Document/FullText?findType=L&amp;pubNum=1000600&amp;cite=USFRCPR56&amp;originatingDoc=I202ba230f9ec11eaa684fcd3f9c99774&amp;refType=LQ&amp;originationContext=document&amp;vr=3.0&amp;rs=cblt1.0&amp;transitionType=DocumentItem&amp;contextData=(sc.Default)" TargetMode="External"/><Relationship Id="r56" Type="http://schemas.openxmlformats.org/officeDocument/2006/relationships/hyperlink" Target="https://www.westlaw.com/Link/Document/FullText?findType=L&amp;pubNum=1000600&amp;cite=USFRCPR56&amp;originatingDoc=I202ba230f9ec11eaa684fcd3f9c99774&amp;refType=LQ&amp;originationContext=document&amp;vr=3.0&amp;rs=cblt1.0&amp;transitionType=DocumentItem&amp;contextData=(sc.Default)" TargetMode="External"/><Relationship Id="r77" Type="http://schemas.openxmlformats.org/officeDocument/2006/relationships/hyperlink" Target="https://www.westlaw.com/Link/RelatedInformation/DocHeadnoteLink?docGuid=I202ba230f9ec11eaa684fcd3f9c99774&amp;headnoteId=205188401501420230831142352&amp;originationContext=document&amp;vr=3.0&amp;rs=cblt1.0&amp;transitionType=CitingReferences&amp;contextData=(sc.Default)" TargetMode="External"/><Relationship Id="r98" Type="http://schemas.openxmlformats.org/officeDocument/2006/relationships/hyperlink" Target="https://www.westlaw.com/Browse/Home/KeyNumber/92/View.html?docGuid=I202ba230f9ec11eaa684fcd3f9c99774&amp;originationContext=document&amp;vr=3.0&amp;rs=cblt1.0&amp;transitionType=DocumentItem&amp;contextData=(sc.Default)" TargetMode="External"/><Relationship Id="r180" Type="http://schemas.openxmlformats.org/officeDocument/2006/relationships/hyperlink" Target="https://www.westlaw.com/Link/Document/FullText?findType=L&amp;pubNum=1000546&amp;cite=42USCAS12182&amp;originatingDoc=I202ba230f9ec11eaa684fcd3f9c99774&amp;refType=RB&amp;originationContext=document&amp;vr=3.0&amp;rs=cblt1.0&amp;transitionType=DocumentItem&amp;contextData=(sc.Default)#co_pp_8b16000077793" TargetMode="External"/><Relationship Id="r117" Type="http://schemas.openxmlformats.org/officeDocument/2006/relationships/hyperlink" Target="https://www.westlaw.com/Browse/Home/KeyNumber/170Bk2384/View.html?docGuid=I202ba230f9ec11eaa684fcd3f9c99774&amp;originationContext=document&amp;vr=3.0&amp;rs=cblt1.0&amp;transitionType=DocumentItem&amp;contextData=(sc.Default)" TargetMode="External"/><Relationship Id="r138" Type="http://schemas.openxmlformats.org/officeDocument/2006/relationships/hyperlink" Target="https://www.westlaw.com/Link/Document/FullText?findType=Y&amp;serNum=1971136559&amp;pubNum=0000780&amp;originatingDoc=I202ba230f9ec11eaa684fcd3f9c99774&amp;refType=RP&amp;fi=co_pp_sp_780_246&amp;originationContext=document&amp;vr=3.0&amp;rs=cblt1.0&amp;transitionType=DocumentItem&amp;contextData=(sc.Default)#co_pp_sp_780_246" TargetMode="External"/><Relationship Id="r159" Type="http://schemas.openxmlformats.org/officeDocument/2006/relationships/hyperlink" Target="https://www.westlaw.com/Link/Document/FullText?findType=Y&amp;serNum=2007691735&amp;pubNum=0000506&amp;originatingDoc=I202ba230f9ec11eaa684fcd3f9c99774&amp;refType=RP&amp;originationContext=document&amp;vr=3.0&amp;rs=cblt1.0&amp;transitionType=DocumentItem&amp;contextData=(sc.Default)" TargetMode="External"/><Relationship Id="r3" Type="http://schemas.openxmlformats.org/officeDocument/2006/relationships/numbering" Target="numbering.xml"/><Relationship Id="r25" Type="http://schemas.openxmlformats.org/officeDocument/2006/relationships/hyperlink" Target="https://www.westlaw.com/Browse/Home/KeyNumber/170Bk2076/View.html?docGuid=I202ba230f9ec11eaa684fcd3f9c99774&amp;originationContext=document&amp;vr=3.0&amp;rs=cblt1.0&amp;transitionType=DocumentItem&amp;contextData=(sc.Default)" TargetMode="External"/><Relationship Id="r46" Type="http://schemas.openxmlformats.org/officeDocument/2006/relationships/hyperlink" Target="https://www.westlaw.com/Link/Document/FullText?findType=L&amp;pubNum=1000517&amp;cite=COSTS17-27-103&amp;originatingDoc=I202ba230f9ec11eaa684fcd3f9c99774&amp;refType=LQ&amp;originationContext=document&amp;vr=3.0&amp;rs=cblt1.0&amp;transitionType=DocumentItem&amp;contextData=(sc.Default)" TargetMode="External"/><Relationship Id="r67" Type="http://schemas.openxmlformats.org/officeDocument/2006/relationships/hyperlink" Target="https://www.westlaw.com/Browse/Home/KeyNumber/78/View.html?docGuid=I202ba230f9ec11eaa684fcd3f9c99774&amp;originationContext=document&amp;vr=3.0&amp;rs=cblt1.0&amp;transitionType=DocumentItem&amp;contextData=(sc.Default)" TargetMode="External"/><Relationship Id="r88" Type="http://schemas.openxmlformats.org/officeDocument/2006/relationships/hyperlink" Target="https://www.westlaw.com/Link/Document/FullText?findType=L&amp;pubNum=1000583&amp;cite=USCOAMENDXIV&amp;originatingDoc=I202ba230f9ec11eaa684fcd3f9c99774&amp;refType=LQ&amp;originationContext=document&amp;vr=3.0&amp;rs=cblt1.0&amp;transitionType=DocumentItem&amp;contextData=(sc.Default)" TargetMode="External"/><Relationship Id="r170" Type="http://schemas.openxmlformats.org/officeDocument/2006/relationships/hyperlink" Target="https://www.westlaw.com/Link/Document/FullText?findType=L&amp;pubNum=1000546&amp;cite=29USCAS794&amp;originatingDoc=I202ba230f9ec11eaa684fcd3f9c99774&amp;refType=RB&amp;originationContext=document&amp;vr=3.0&amp;rs=cblt1.0&amp;transitionType=DocumentItem&amp;contextData=(sc.Default)#co_pp_8b3b0000958a4" TargetMode="External"/><Relationship Id="r191" Type="http://schemas.openxmlformats.org/officeDocument/2006/relationships/image" Target="images/4.png"/><Relationship Id="r205" Type="http://schemas.openxmlformats.org/officeDocument/2006/relationships/hyperlink" Target="https://www.westlaw.com/Link/Document/FullText?findType=Y&amp;serNum=2029708893&amp;pubNum=0006538&amp;originatingDoc=I202ba230f9ec11eaa684fcd3f9c99774&amp;refType=RP&amp;fi=co_pp_sp_6538_739&amp;originationContext=document&amp;vr=3.0&amp;rs=cblt1.0&amp;transitionType=DocumentItem&amp;contextData=(sc.Default)#co_pp_sp_6538_739" TargetMode="External"/><Relationship Id="r107" Type="http://schemas.openxmlformats.org/officeDocument/2006/relationships/hyperlink" Target="https://www.westlaw.com/Browse/Home/KeyNumber/310k248/View.html?docGuid=I202ba230f9ec11eaa684fcd3f9c99774&amp;originationContext=document&amp;vr=3.0&amp;rs=cblt1.0&amp;transitionType=DocumentItem&amp;contextData=(sc.Default)" TargetMode="External"/><Relationship Id="r128" Type="http://schemas.openxmlformats.org/officeDocument/2006/relationships/hyperlink" Target="https://www.westlaw.com/Link/Document/FullText?findType=L&amp;pubNum=1000517&amp;cite=COSTS17-27-108&amp;originatingDoc=I202ba230f9ec11eaa684fcd3f9c99774&amp;refType=SP&amp;originationContext=document&amp;vr=3.0&amp;rs=cblt1.0&amp;transitionType=DocumentItem&amp;contextData=(sc.Default)#co_pp_f1c50000821b0" TargetMode="External"/><Relationship Id="r149" Type="http://schemas.openxmlformats.org/officeDocument/2006/relationships/hyperlink" Target="https://www.westlaw.com/Link/Document/FullText?findType=Y&amp;serNum=1992022716&amp;pubNum=0000780&amp;originatingDoc=I202ba230f9ec11eaa684fcd3f9c99774&amp;refType=RP&amp;fi=co_pp_sp_780_288&amp;originationContext=document&amp;vr=3.0&amp;rs=cblt1.0&amp;transitionType=DocumentItem&amp;contextData=(sc.Default)#co_pp_sp_780_288" TargetMode="External"/><Relationship Id="r15" Type="http://schemas.openxmlformats.org/officeDocument/2006/relationships/hyperlink" Target="https://www.westlaw.com/Link/Document/FullText?findType=Y&amp;serNum=2050599590&amp;pubNum=0000999&amp;originatingDoc=I202ba230f9ec11eaa684fcd3f9c99774&amp;refType=RP&amp;originationContext=document&amp;vr=3.0&amp;rs=cblt1.0&amp;transitionType=DocumentItem&amp;contextData=(sc.Default)" TargetMode="External"/><Relationship Id="r36" Type="http://schemas.openxmlformats.org/officeDocument/2006/relationships/hyperlink" Target="https://www.westlaw.com/Link/RelatedInformation/DocHeadnoteLink?docGuid=I202ba230f9ec11eaa684fcd3f9c99774&amp;headnoteId=205188401500720230831142352&amp;originationContext=document&amp;vr=3.0&amp;rs=cblt1.0&amp;transitionType=CitingReferences&amp;contextData=(sc.Default)" TargetMode="External"/><Relationship Id="r57" Type="http://schemas.openxmlformats.org/officeDocument/2006/relationships/hyperlink" Target="https://www.westlaw.com/Browse/Home/KeyNumber/78/View.html?docGuid=I202ba230f9ec11eaa684fcd3f9c99774&amp;originationContext=document&amp;vr=3.0&amp;rs=cblt1.0&amp;transitionType=DocumentItem&amp;contextData=(sc.Default)" TargetMode="External"/><Relationship Id="r78" Type="http://schemas.openxmlformats.org/officeDocument/2006/relationships/hyperlink" Target="https://www.westlaw.com/Browse/Home/KeyNumber/78/View.html?docGuid=I202ba230f9ec11eaa684fcd3f9c99774&amp;originationContext=document&amp;vr=3.0&amp;rs=cblt1.0&amp;transitionType=DocumentItem&amp;contextData=(sc.Default)" TargetMode="External"/><Relationship Id="r99" Type="http://schemas.openxmlformats.org/officeDocument/2006/relationships/hyperlink" Target="https://www.westlaw.com/Browse/Home/KeyNumber/92k3073/View.html?docGuid=I202ba230f9ec11eaa684fcd3f9c99774&amp;originationContext=document&amp;vr=3.0&amp;rs=cblt1.0&amp;transitionType=DocumentItem&amp;contextData=(sc.Default)" TargetMode="External"/><Relationship Id="r160" Type="http://schemas.openxmlformats.org/officeDocument/2006/relationships/hyperlink" Target="https://www.westlaw.com/Link/Document/FullText?findType=Y&amp;serNum=2007691735&amp;pubNum=0000506&amp;originatingDoc=I202ba230f9ec11eaa684fcd3f9c99774&amp;refType=RP&amp;originationContext=document&amp;vr=3.0&amp;rs=cblt1.0&amp;transitionType=DocumentItem&amp;contextData=(sc.Default)" TargetMode="External"/><Relationship Id="r181" Type="http://schemas.openxmlformats.org/officeDocument/2006/relationships/hyperlink" Target="https://www.westlaw.com/Link/Document/FullText?findType=L&amp;pubNum=1000547&amp;cite=28CFRS35.130&amp;originatingDoc=I202ba230f9ec11eaa684fcd3f9c99774&amp;refType=RB&amp;originationContext=document&amp;vr=3.0&amp;rs=cblt1.0&amp;transitionType=DocumentItem&amp;contextData=(sc.Default)#co_pp_a83b000018c76" TargetMode="External"/><Relationship Id="r118" Type="http://schemas.openxmlformats.org/officeDocument/2006/relationships/hyperlink" Target="https://www.westlaw.com/Link/Document/FullText?findType=L&amp;pubNum=1000583&amp;cite=USCOAMENDXI&amp;originatingDoc=I202ba230f9ec11eaa684fcd3f9c99774&amp;refType=LQ&amp;originationContext=document&amp;vr=3.0&amp;rs=cblt1.0&amp;transitionType=DocumentItem&amp;contextData=(sc.Default)" TargetMode="External"/><Relationship Id="r4" Type="http://schemas.openxmlformats.org/officeDocument/2006/relationships/footnotes" Target="footnotes.xml"/><Relationship Id="r26"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47" Type="http://schemas.openxmlformats.org/officeDocument/2006/relationships/hyperlink" Target="https://www.westlaw.com/Link/Document/FullText?findType=L&amp;pubNum=1000517&amp;cite=COSTS17-27-108&amp;originatingDoc=I202ba230f9ec11eaa684fcd3f9c99774&amp;refType=LQ&amp;originationContext=document&amp;vr=3.0&amp;rs=cblt1.0&amp;transitionType=DocumentItem&amp;contextData=(sc.Default)" TargetMode="External"/><Relationship Id="r68" Type="http://schemas.openxmlformats.org/officeDocument/2006/relationships/hyperlink" Target="https://www.westlaw.com/Browse/Home/KeyNumber/78k1089/View.html?docGuid=I202ba230f9ec11eaa684fcd3f9c99774&amp;originationContext=document&amp;vr=3.0&amp;rs=cblt1.0&amp;transitionType=DocumentItem&amp;contextData=(sc.Default)" TargetMode="External"/><Relationship Id="r89" Type="http://schemas.openxmlformats.org/officeDocument/2006/relationships/hyperlink" Target="https://www.westlaw.com/Link/RelatedInformation/DocHeadnoteLink?docGuid=I202ba230f9ec11eaa684fcd3f9c99774&amp;headnoteId=205188401501720230831142352&amp;originationContext=document&amp;vr=3.0&amp;rs=cblt1.0&amp;transitionType=CitingReferences&amp;contextData=(sc.Default)" TargetMode="External"/><Relationship Id="r139" Type="http://schemas.openxmlformats.org/officeDocument/2006/relationships/hyperlink" Target="https://www.westlaw.com/Link/Document/FullText?findType=Y&amp;serNum=2025741506&amp;pubNum=0000506&amp;originatingDoc=I202ba230f9ec11eaa684fcd3f9c99774&amp;refType=RP&amp;fi=co_pp_sp_506_1024&amp;originationContext=document&amp;vr=3.0&amp;rs=cblt1.0&amp;transitionType=DocumentItem&amp;contextData=(sc.Default)#co_pp_sp_506_1024" TargetMode="External"/><Relationship Id="r150" Type="http://schemas.openxmlformats.org/officeDocument/2006/relationships/hyperlink" Target="https://www.westlaw.com/Link/Document/FullText?findType=Y&amp;serNum=1986133437&amp;pubNum=0000780&amp;originatingDoc=I202ba230f9ec11eaa684fcd3f9c99774&amp;refType=RP&amp;fi=co_pp_sp_780_7&amp;originationContext=document&amp;vr=3.0&amp;rs=cblt1.0&amp;transitionType=DocumentItem&amp;contextData=(sc.Default)#co_pp_sp_780_7" TargetMode="External"/><Relationship Id="r171" Type="http://schemas.openxmlformats.org/officeDocument/2006/relationships/hyperlink" Target="https://www.westlaw.com/Link/Document/FullText?findType=Y&amp;serNum=2002373274&amp;pubNum=0000780&amp;originatingDoc=I202ba230f9ec11eaa684fcd3f9c99774&amp;refType=RP&amp;fi=co_pp_sp_780_184&amp;originationContext=document&amp;vr=3.0&amp;rs=cblt1.0&amp;transitionType=DocumentItem&amp;contextData=(sc.Default)#co_pp_sp_780_184" TargetMode="External"/><Relationship Id="r192" Type="http://schemas.openxmlformats.org/officeDocument/2006/relationships/hyperlink" Target="https://www.westlaw.com/Link/Document/FullText?findType=Y&amp;serNum=2001172281&amp;pubNum=0000780&amp;originatingDoc=I202ba230f9ec11eaa684fcd3f9c99774&amp;refType=RP&amp;fi=co_pp_sp_780_367&amp;originationContext=document&amp;vr=3.0&amp;rs=cblt1.0&amp;transitionType=DocumentItem&amp;contextData=(sc.Default)#co_pp_sp_780_367" TargetMode="External"/><Relationship Id="r206" Type="http://schemas.openxmlformats.org/officeDocument/2006/relationships/hyperlink" Target="https://www.westlaw.com/Link/Document/FullText?findType=Y&amp;serNum=2029708893&amp;pubNum=0006538&amp;originatingDoc=I202ba230f9ec11eaa684fcd3f9c99774&amp;refType=RP&amp;fi=co_pp_sp_6538_753&amp;originationContext=document&amp;vr=3.0&amp;rs=cblt1.0&amp;transitionType=DocumentItem&amp;contextData=(sc.Default)#co_pp_sp_6538_753" TargetMode="External"/><Relationship Id="rId1" Type="http://schemas.openxmlformats.org/officeDocument/2006/relationships/customXml" Target="customXml/item1.xml"/><Relationship Id="r108" Type="http://schemas.openxmlformats.org/officeDocument/2006/relationships/hyperlink" Target="https://www.westlaw.com/Link/Document/FullText?findType=L&amp;pubNum=1000583&amp;cite=USCOAMENDXIV&amp;originatingDoc=I202ba230f9ec11eaa684fcd3f9c99774&amp;refType=LQ&amp;originationContext=document&amp;vr=3.0&amp;rs=cblt1.0&amp;transitionType=DocumentItem&amp;contextData=(sc.Default)" TargetMode="External"/><Relationship Id="r16" Type="http://schemas.openxmlformats.org/officeDocument/2006/relationships/hyperlink" Target="https://www.westlaw.com/Link/Document/FullText?findType=h&amp;pubNum=176284&amp;cite=0312952701&amp;originatingDoc=I202ba230f9ec11eaa684fcd3f9c99774&amp;refType=RQ&amp;originationContext=document&amp;vr=3.0&amp;rs=cblt1.0&amp;transitionType=DocumentItem&amp;contextData=(sc.Default)" TargetMode="External"/><Relationship Id="r37" Type="http://schemas.openxmlformats.org/officeDocument/2006/relationships/hyperlink" Target="https://www.westlaw.com/Browse/Home/KeyNumber/170B/View.html?docGuid=I202ba230f9ec11eaa684fcd3f9c99774&amp;originationContext=document&amp;vr=3.0&amp;rs=cblt1.0&amp;transitionType=DocumentItem&amp;contextData=(sc.Default)" TargetMode="External"/><Relationship Id="r58" Type="http://schemas.openxmlformats.org/officeDocument/2006/relationships/hyperlink" Target="https://www.westlaw.com/Browse/Home/KeyNumber/78k1055/View.html?docGuid=I202ba230f9ec11eaa684fcd3f9c99774&amp;originationContext=document&amp;vr=3.0&amp;rs=cblt1.0&amp;transitionType=DocumentItem&amp;contextData=(sc.Default)" TargetMode="External"/><Relationship Id="r79" Type="http://schemas.openxmlformats.org/officeDocument/2006/relationships/hyperlink" Target="https://www.westlaw.com/Browse/Home/KeyNumber/78k1089/View.html?docGuid=I202ba230f9ec11eaa684fcd3f9c99774&amp;originationContext=document&amp;vr=3.0&amp;rs=cblt1.0&amp;transitionType=DocumentItem&amp;contextData=(sc.Default)" TargetMode="External"/><Relationship Id="r129" Type="http://schemas.openxmlformats.org/officeDocument/2006/relationships/hyperlink" Target="https://www.westlaw.com/Link/Document/FullText?findType=L&amp;pubNum=1000517&amp;cite=COSTS17-27-108&amp;originatingDoc=I202ba230f9ec11eaa684fcd3f9c99774&amp;refType=SP&amp;originationContext=document&amp;vr=3.0&amp;rs=cblt1.0&amp;transitionType=DocumentItem&amp;contextData=(sc.Default)#co_pp_58730000872b1" TargetMode="External"/><Relationship Id="r140" Type="http://schemas.openxmlformats.org/officeDocument/2006/relationships/hyperlink" Target="https://www.westlaw.com/Link/Document/FullText?findType=Y&amp;serNum=2025741506&amp;pubNum=0000506&amp;originatingDoc=I202ba230f9ec11eaa684fcd3f9c99774&amp;refType=RP&amp;originationContext=document&amp;vr=3.0&amp;rs=cblt1.0&amp;transitionType=DocumentItem&amp;contextData=(sc.Default)" TargetMode="External"/><Relationship Id="r161" Type="http://schemas.openxmlformats.org/officeDocument/2006/relationships/hyperlink" Target="https://www.westlaw.com/Link/Document/FullText?findType=Y&amp;serNum=2010291312&amp;pubNum=0000506&amp;originatingDoc=I202ba230f9ec11eaa684fcd3f9c99774&amp;refType=RP&amp;originationContext=document&amp;vr=3.0&amp;rs=cblt1.0&amp;transitionType=DocumentItem&amp;contextData=(sc.Default)" TargetMode="External"/><Relationship Id="r182" Type="http://schemas.openxmlformats.org/officeDocument/2006/relationships/hyperlink" Target="https://www.westlaw.com/Link/Document/FullText?findType=L&amp;pubNum=1000547&amp;cite=28CFRS42.503&amp;originatingDoc=I202ba230f9ec11eaa684fcd3f9c99774&amp;refType=RB&amp;originationContext=document&amp;vr=3.0&amp;rs=cblt1.0&amp;transitionType=DocumentItem&amp;contextData=(sc.Default)#co_pp_a83b000018c76" TargetMode="External"/><Relationship Id="r90" Type="http://schemas.openxmlformats.org/officeDocument/2006/relationships/hyperlink" Target="https://www.westlaw.com/Browse/Home/KeyNumber/106/View.html?docGuid=I202ba230f9ec11eaa684fcd3f9c99774&amp;originationContext=document&amp;vr=3.0&amp;rs=cblt1.0&amp;transitionType=DocumentItem&amp;contextData=(sc.Default)" TargetMode="External"/><Relationship Id="r5" Type="http://schemas.openxmlformats.org/officeDocument/2006/relationships/header" Target="header1.xml"/><Relationship Id="r27" Type="http://schemas.openxmlformats.org/officeDocument/2006/relationships/hyperlink" Target="https://www.westlaw.com/Browse/Home/KeyNumber/170Bk2111/View.html?docGuid=I202ba230f9ec11eaa684fcd3f9c99774&amp;originationContext=document&amp;vr=3.0&amp;rs=cblt1.0&amp;transitionType=DocumentItem&amp;contextData=(sc.Default)" TargetMode="External"/><Relationship Id="r48" Type="http://schemas.openxmlformats.org/officeDocument/2006/relationships/hyperlink" Target="https://www.westlaw.com/Search/MoreLikeThisResults.html?caseGuid=I202ba230f9ec11eaa684fcd3f9c99774&amp;title=Marks+v.+Colorado+Department+of+Corrections&amp;citation=976+F.3d+1087&amp;originationContext=DocumentHeadNote&amp;ppcid=ea34c6ecde934aec99e5a8530cb9b70e&amp;legalIssue=Justiciability%20%3e%20Mootness%20Exception&amp;returnTo=%2fDocument%2fI202ba230f9ec11eaa684fcd3f9c99774%2fView%2fFullText.html%3frank%3d0%26sessionScopeId%3d05c4fdb0ff48fd3b59077a24ebca9a8ff0ccb7d1cdb489e2055554d837fc1fe6%26originationContext%3dSearch%2bResult%26transitionType%3dSearchItem%26ppcid%3dea34c6ecde934aec99e5a8530cb9b70e%26contextData%3d(sc.Default)%23Athens_headnoteCell_headnoteRef&amp;VR=3.0&amp;RS=cblt1.0" TargetMode="External"/><Relationship Id="r119" Type="http://schemas.openxmlformats.org/officeDocument/2006/relationships/hyperlink" Target="https://www.westlaw.com/Link/Document/FullText?findType=h&amp;pubNum=176284&amp;cite=0482335401&amp;originatingDoc=I202ba230f9ec11eaa684fcd3f9c99774&amp;refType=RQ&amp;originationContext=document&amp;vr=3.0&amp;rs=cblt1.0&amp;transitionType=DocumentItem&amp;contextData=(sc.Default)" TargetMode="External"/><Relationship Id="r69" Type="http://schemas.openxmlformats.org/officeDocument/2006/relationships/hyperlink" Target="https://www.westlaw.com/Link/Document/FullText?findType=L&amp;pubNum=1000546&amp;cite=29USCAS794&amp;originatingDoc=I202ba230f9ec11eaa684fcd3f9c99774&amp;refType=SP&amp;originationContext=document&amp;vr=3.0&amp;rs=cblt1.0&amp;transitionType=DocumentItem&amp;contextData=(sc.Default)#co_pp_8b3b0000958a4" TargetMode="External"/><Relationship Id="r130" Type="http://schemas.openxmlformats.org/officeDocument/2006/relationships/hyperlink" Target="https://www.westlaw.com/Link/Document/FullText?findType=L&amp;pubNum=1000517&amp;cite=COSTS17-27-108&amp;originatingDoc=I202ba230f9ec11eaa684fcd3f9c99774&amp;refType=SP&amp;originationContext=document&amp;vr=3.0&amp;rs=cblt1.0&amp;transitionType=DocumentItem&amp;contextData=(sc.Default)#co_pp_f1c50000821b0" TargetMode="External"/><Relationship Id="r151" Type="http://schemas.openxmlformats.org/officeDocument/2006/relationships/hyperlink" Target="https://www.westlaw.com/Link/Document/FullText?findType=Y&amp;serNum=1973126316&amp;pubNum=0000780&amp;originatingDoc=I202ba230f9ec11eaa684fcd3f9c99774&amp;refType=RP&amp;originationContext=document&amp;vr=3.0&amp;rs=cblt1.0&amp;transitionType=DocumentItem&amp;contextData=(sc.Default)" TargetMode="External"/><Relationship Id="r172" Type="http://schemas.openxmlformats.org/officeDocument/2006/relationships/hyperlink" Target="https://www.westlaw.com/Link/Document/FullText?findType=Y&amp;serNum=2003402898&amp;pubNum=0000506&amp;originatingDoc=I202ba230f9ec11eaa684fcd3f9c99774&amp;refType=RP&amp;fi=co_pp_sp_506_272&amp;originationContext=document&amp;vr=3.0&amp;rs=cblt1.0&amp;transitionType=DocumentItem&amp;contextData=(sc.Default)#co_pp_sp_506_272" TargetMode="External"/><Relationship Id="r193" Type="http://schemas.openxmlformats.org/officeDocument/2006/relationships/hyperlink" Target="https://www.westlaw.com/Link/Document/FullText?findType=Y&amp;serNum=1982101922&amp;pubNum=0000780&amp;originatingDoc=I202ba230f9ec11eaa684fcd3f9c99774&amp;refType=RP&amp;fi=co_pp_sp_780_375&amp;originationContext=document&amp;vr=3.0&amp;rs=cblt1.0&amp;transitionType=DocumentItem&amp;contextData=(sc.Default)#co_pp_sp_780_375" TargetMode="External"/><Relationship Id="r207" Type="http://schemas.openxmlformats.org/officeDocument/2006/relationships/hyperlink" Target="https://www.westlaw.com/Link/Document/FullText?findType=Y&amp;serNum=2022928351&amp;pubNum=0000506&amp;originatingDoc=I202ba230f9ec11eaa684fcd3f9c99774&amp;refType=RP&amp;originationContext=document&amp;vr=3.0&amp;rs=cblt1.0&amp;transitionType=DocumentItem&amp;contextData=(sc.Default)" TargetMode="External"/><Relationship Id="r80" Type="http://schemas.openxmlformats.org/officeDocument/2006/relationships/hyperlink" Target="https://www.westlaw.com/Link/Document/FullText?findType=L&amp;pubNum=1000546&amp;cite=29USCAS794&amp;originatingDoc=I202ba230f9ec11eaa684fcd3f9c99774&amp;refType=SP&amp;originationContext=document&amp;vr=3.0&amp;rs=cblt1.0&amp;transitionType=DocumentItem&amp;contextData=(sc.Default)#co_pp_8b3b0000958a4" TargetMode="External"/><Relationship Id="rId2" Type="http://schemas.openxmlformats.org/officeDocument/2006/relationships/customXml" Target="customXml/item2.xml"/><Relationship Id="r17" Type="http://schemas.openxmlformats.org/officeDocument/2006/relationships/hyperlink" Target="https://www.westlaw.com/Link/Document/FullText?findType=Y&amp;serNum=2050950372&amp;pubNum=0000506&amp;originatingDoc=I202ba230f9ec11eaa684fcd3f9c99774&amp;refType=RP&amp;originationContext=document&amp;vr=3.0&amp;rs=cblt1.0&amp;transitionType=DocumentItem&amp;contextData=(sc.Default)" TargetMode="External"/><Relationship Id="r38" Type="http://schemas.openxmlformats.org/officeDocument/2006/relationships/hyperlink" Target="https://www.westlaw.com/Browse/Home/KeyNumber/170Bk2113/View.html?docGuid=I202ba230f9ec11eaa684fcd3f9c99774&amp;originationContext=document&amp;vr=3.0&amp;rs=cblt1.0&amp;transitionType=DocumentItem&amp;contextData=(sc.Default)" TargetMode="External"/><Relationship Id="r109" Type="http://schemas.openxmlformats.org/officeDocument/2006/relationships/hyperlink" Target="https://www.westlaw.com/Link/Document/FullText?findType=L&amp;pubNum=1000517&amp;cite=COSTS17-27-101&amp;originatingDoc=I202ba230f9ec11eaa684fcd3f9c99774&amp;refType=LQ&amp;originationContext=document&amp;vr=3.0&amp;rs=cblt1.0&amp;transitionType=DocumentItem&amp;contextData=(sc.Default)" TargetMode="External"/><Relationship Id="r59" Type="http://schemas.openxmlformats.org/officeDocument/2006/relationships/hyperlink" Target="https://www.westlaw.com/Link/Document/FullText?findType=L&amp;pubNum=1000546&amp;cite=29USCAS794&amp;originatingDoc=I202ba230f9ec11eaa684fcd3f9c99774&amp;refType=SP&amp;originationContext=document&amp;vr=3.0&amp;rs=cblt1.0&amp;transitionType=DocumentItem&amp;contextData=(sc.Default)#co_pp_8b3b0000958a4" TargetMode="External"/><Relationship Id="r120" Type="http://schemas.openxmlformats.org/officeDocument/2006/relationships/hyperlink" Target="https://www.westlaw.com/Link/Document/FullText?findType=h&amp;pubNum=176284&amp;cite=0105253501&amp;originatingDoc=I202ba230f9ec11eaa684fcd3f9c99774&amp;refType=RQ&amp;originationContext=document&amp;vr=3.0&amp;rs=cblt1.0&amp;transitionType=DocumentItem&amp;contextData=(sc.Default)" TargetMode="External"/><Relationship Id="r141" Type="http://schemas.openxmlformats.org/officeDocument/2006/relationships/hyperlink" Target="https://www.westlaw.com/Link/Document/FullText?findType=Y&amp;serNum=2037152205&amp;pubNum=0000506&amp;originatingDoc=I202ba230f9ec11eaa684fcd3f9c99774&amp;refType=RP&amp;fi=co_pp_sp_506_1215&amp;originationContext=document&amp;vr=3.0&amp;rs=cblt1.0&amp;transitionType=DocumentItem&amp;contextData=(sc.Default)#co_pp_sp_506_1215" TargetMode="External"/><Relationship Id="r162" Type="http://schemas.openxmlformats.org/officeDocument/2006/relationships/hyperlink" Target="https://www.westlaw.com/Link/Document/FullText?findType=Y&amp;serNum=2011798473&amp;pubNum=0000506&amp;originatingDoc=I202ba230f9ec11eaa684fcd3f9c99774&amp;refType=RP&amp;originationContext=document&amp;vr=3.0&amp;rs=cblt1.0&amp;transitionType=DocumentItem&amp;contextData=(sc.Default)" TargetMode="External"/><Relationship Id="r183" Type="http://schemas.openxmlformats.org/officeDocument/2006/relationships/hyperlink" Target="https://www.westlaw.com/Link/Document/FullText?findType=Y&amp;serNum=2022928351&amp;pubNum=0000506&amp;originatingDoc=I202ba230f9ec11eaa684fcd3f9c99774&amp;refType=RP&amp;fi=co_pp_sp_506_1065&amp;originationContext=document&amp;vr=3.0&amp;rs=cblt1.0&amp;transitionType=DocumentItem&amp;contextData=(sc.Default)#co_pp_sp_506_1065" TargetMode="External"/><Relationship Id="r70" Type="http://schemas.openxmlformats.org/officeDocument/2006/relationships/hyperlink" Target="https://www.westlaw.com/Link/Document/FullText?findType=L&amp;pubNum=1000546&amp;cite=42USCAS12132&amp;originatingDoc=I202ba230f9ec11eaa684fcd3f9c99774&amp;refType=LQ&amp;originationContext=document&amp;vr=3.0&amp;rs=cblt1.0&amp;transitionType=DocumentItem&amp;contextData=(sc.Default)" TargetMode="External"/><Relationship Id="r91" Type="http://schemas.openxmlformats.org/officeDocument/2006/relationships/hyperlink" Target="https://www.westlaw.com/Browse/Home/KeyNumber/106k96(3)/View.html?docGuid=I202ba230f9ec11eaa684fcd3f9c99774&amp;originationContext=document&amp;vr=3.0&amp;rs=cblt1.0&amp;transitionType=DocumentItem&amp;contextData=(sc.Default)"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109118-2FAC-4304-8254-53120871BEEB}"/>
</file>

<file path=customXml/itemProps2.xml><?xml version="1.0" encoding="utf-8"?>
<ds:datastoreItem xmlns:ds="http://schemas.openxmlformats.org/officeDocument/2006/customXml" ds:itemID="{377A30CA-A0FB-4DF2-9667-AF1BBDC9A866}"/>
</file>

<file path=customXml/itemProps3.xml><?xml version="1.0" encoding="utf-8"?>
<ds:datastoreItem xmlns:ds="http://schemas.openxmlformats.org/officeDocument/2006/customXml" ds:itemID="{743A8543-FB88-43E0-A042-E7443AD988A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202ba230f9ec11eaa684fcd3f9c99774_Targe"/>
      <w:bookmarkEnd w:id="1"/>
    </w:p>
    <w:bookmarkEnd w:id="0"/>
    <w:p>
      <w:pPr>
        <w:spacing w:before="0" w:after="0" w:line="275" w:lineRule="atLeast"/>
        <w:jc w:val="center"/>
      </w:pPr>
      <w:r>
        <w:rPr>
          <w:rFonts w:ascii="Georgia" w:hAnsi="Georgia"/>
          <w:color w:val="1f1f1f"/>
          <w:sz w:val="20"/>
        </w:rPr>
        <w:t>976 F.3d 1087</w:t>
      </w:r>
    </w:p>
    <w:p>
      <w:pPr>
        <w:spacing w:before="0" w:after="0" w:line="275" w:lineRule="atLeast"/>
        <w:jc w:val="center"/>
      </w:pPr>
      <w:r>
        <w:rPr>
          <w:rFonts w:ascii="Georgia" w:hAnsi="Georgia"/>
          <w:color w:val="1f1f1f"/>
          <w:sz w:val="20"/>
        </w:rPr>
        <w:t>United States Court of Appeals, Tenth Circuit.</w:t>
      </w:r>
    </w:p>
    <w:p>
      <w:pPr>
        <w:spacing w:before="200" w:after="0" w:line="300" w:lineRule="atLeast"/>
        <w:ind w:left="100" w:right="100" w:firstLine="0"/>
        <w:jc w:val="center"/>
      </w:pPr>
      <w:r>
        <w:rPr>
          <w:rFonts w:ascii="Georgia" w:hAnsi="Georgia"/>
          <w:color w:val="212121"/>
          <w:sz w:val="20"/>
        </w:rPr>
        <w:t>Nancy MARKS, Plaintiff - Appellant,</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COLORADO DEPARTMENT OF CORRECTIONS; Colorado Division of Criminal Justice; Susan Keller, Community Parole Office, Colorado Department of Corrections, in her official capacity; Rick Raemisch, Executive Director Colorado Department of Corrections, in his official capacity, Defendants - Appellees.</w:t>
      </w:r>
    </w:p>
    <w:p>
      <w:pPr>
        <w:spacing w:before="0" w:after="0" w:line="300" w:lineRule="atLeast"/>
        <w:ind w:left="100" w:right="100" w:firstLine="0"/>
        <w:jc w:val="center"/>
      </w:pPr>
      <w:r>
        <w:rPr>
          <w:rFonts w:ascii="Georgia" w:hAnsi="Georgia"/>
          <w:color w:val="212121"/>
          <w:sz w:val="20"/>
        </w:rPr>
        <w:t xml:space="preserve">Disability Law Colorado; Colorado Cross-Disability Coalition; </w:t>
      </w:r>
      <w:hyperlink r:id="r7">
        <w:r>
          <w:rPr>
            <w:rFonts w:ascii="Georgia" w:hAnsi="Georgia"/>
            <w:color w:val="006fc4"/>
            <w:sz w:val="20"/>
          </w:rPr>
          <w:t>Disability Rights Center of Kansas</w:t>
        </w:r>
      </w:hyperlink>
      <w:r>
        <w:rPr>
          <w:rFonts w:ascii="Georgia" w:hAnsi="Georgia"/>
          <w:color w:val="212121"/>
          <w:sz w:val="20"/>
        </w:rPr>
        <w:t xml:space="preserve">; Disability Rights Advocates; </w:t>
      </w:r>
      <w:hyperlink r:id="r8">
        <w:r>
          <w:rPr>
            <w:rFonts w:ascii="Georgia" w:hAnsi="Georgia"/>
            <w:color w:val="006fc4"/>
            <w:sz w:val="20"/>
          </w:rPr>
          <w:t>Disability Rights Education and Defense Fund</w:t>
        </w:r>
      </w:hyperlink>
      <w:r>
        <w:rPr>
          <w:rFonts w:ascii="Georgia" w:hAnsi="Georgia"/>
          <w:color w:val="212121"/>
          <w:sz w:val="20"/>
        </w:rPr>
        <w:t xml:space="preserve">; American Civil Liberties Union; </w:t>
      </w:r>
      <w:hyperlink r:id="r9">
        <w:r>
          <w:rPr>
            <w:rFonts w:ascii="Georgia" w:hAnsi="Georgia"/>
            <w:color w:val="006fc4"/>
            <w:sz w:val="20"/>
          </w:rPr>
          <w:t>American Civil Liberties Union of Colorado</w:t>
        </w:r>
      </w:hyperlink>
      <w:r>
        <w:rPr>
          <w:rFonts w:ascii="Georgia" w:hAnsi="Georgia"/>
          <w:color w:val="212121"/>
          <w:sz w:val="20"/>
        </w:rPr>
        <w:t xml:space="preserve">; </w:t>
      </w:r>
      <w:hyperlink r:id="r10">
        <w:r>
          <w:rPr>
            <w:rFonts w:ascii="Georgia" w:hAnsi="Georgia"/>
            <w:color w:val="006fc4"/>
            <w:sz w:val="20"/>
          </w:rPr>
          <w:t>American Civil Liberties Union of New Mexico</w:t>
        </w:r>
      </w:hyperlink>
      <w:r>
        <w:rPr>
          <w:rFonts w:ascii="Georgia" w:hAnsi="Georgia"/>
          <w:color w:val="212121"/>
          <w:sz w:val="20"/>
        </w:rPr>
        <w:t xml:space="preserve">; </w:t>
      </w:r>
      <w:hyperlink r:id="r11">
        <w:r>
          <w:rPr>
            <w:rFonts w:ascii="Georgia" w:hAnsi="Georgia"/>
            <w:color w:val="006fc4"/>
            <w:sz w:val="20"/>
          </w:rPr>
          <w:t>American Civil Liberties Union of Utah</w:t>
        </w:r>
      </w:hyperlink>
      <w:r>
        <w:rPr>
          <w:rFonts w:ascii="Georgia" w:hAnsi="Georgia"/>
          <w:color w:val="212121"/>
          <w:sz w:val="20"/>
        </w:rPr>
        <w:t xml:space="preserve">; American Civil Liberties Union of Kansas; </w:t>
      </w:r>
      <w:hyperlink r:id="r12">
        <w:r>
          <w:rPr>
            <w:rFonts w:ascii="Georgia" w:hAnsi="Georgia"/>
            <w:color w:val="006fc4"/>
            <w:sz w:val="20"/>
          </w:rPr>
          <w:t>American Civil Liberties Union of Oklahoma</w:t>
        </w:r>
      </w:hyperlink>
      <w:r>
        <w:rPr>
          <w:rFonts w:ascii="Georgia" w:hAnsi="Georgia"/>
          <w:color w:val="212121"/>
          <w:sz w:val="20"/>
        </w:rPr>
        <w:t xml:space="preserve">; American Civil Liberties Union of Wyoming; </w:t>
      </w:r>
      <w:hyperlink r:id="r13">
        <w:r>
          <w:rPr>
            <w:rFonts w:ascii="Georgia" w:hAnsi="Georgia"/>
            <w:color w:val="006fc4"/>
            <w:sz w:val="20"/>
          </w:rPr>
          <w:t>Civil Rights Education and Enforcement Center</w:t>
        </w:r>
      </w:hyperlink>
      <w:r>
        <w:rPr>
          <w:rFonts w:ascii="Georgia" w:hAnsi="Georgia"/>
          <w:color w:val="212121"/>
          <w:sz w:val="20"/>
        </w:rPr>
        <w:t>, Amici Curiae.</w:t>
      </w:r>
    </w:p>
    <w:p>
      <w:pPr>
        <w:pBdr>
          <w:left w:val="none" w:space="8"/>
        </w:pBdr>
        <w:spacing w:before="200" w:after="0" w:line="275" w:lineRule="atLeast"/>
        <w:ind w:left="150" w:right="0" w:firstLine="0"/>
        <w:jc w:val="center"/>
      </w:pPr>
      <w:r>
        <w:rPr>
          <w:rFonts w:ascii="Georgia" w:hAnsi="Georgia"/>
          <w:color w:val="1f1f1f"/>
          <w:sz w:val="20"/>
        </w:rPr>
        <w:t>No. 19-1114</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FILED May 12, 2020</w:t>
      </w:r>
    </w:p>
    <w:bookmarkStart w:id="2" w:name="co_synopsis_1"/>
    <w:p>
      <w:pPr>
        <w:keepNext/>
        <w:keepLines/>
        <w:spacing w:before="600" w:after="0" w:line="275" w:lineRule="atLeast"/>
        <w:jc w:val="both"/>
      </w:pPr>
      <w:r>
        <w:rPr>
          <w:rFonts w:ascii="Times New Roman" w:hAnsi="Times New Roman"/>
          <w:b/>
          <w:color w:val="212121"/>
          <w:sz w:val="20"/>
        </w:rPr>
        <w:t>Synopsis</w:t>
      </w:r>
    </w:p>
    <w:bookmarkEnd w:id="2"/>
    <w:p>
      <w:pPr>
        <w:spacing w:before="0" w:after="0" w:line="275" w:lineRule="atLeast"/>
        <w:jc w:val="both"/>
      </w:pPr>
      <w:r>
        <w:rPr>
          <w:rFonts w:ascii="Times New Roman" w:hAnsi="Times New Roman"/>
          <w:b/>
          <w:color w:val="1f1f1f"/>
          <w:sz w:val="20"/>
        </w:rPr>
        <w:t>Background:</w:t>
      </w:r>
      <w:r>
        <w:rPr>
          <w:rFonts w:ascii="Times New Roman" w:hAnsi="Times New Roman"/>
          <w:color w:val="1f1f1f"/>
          <w:sz w:val="20"/>
        </w:rPr>
        <w:t xml:space="preserve"> Former state prisoner brought action for damages and declaratory and injunctive relief against Colorado Department of Corrections (CDOC), two CDOC officials, and Colorado Department of Criminal Justice (CDCJ), asserting violations of equal protection, the Americans with Disabilities Act (ADA), and the Rehabilitation Act, relating to plaintiff being returned to prison after operator of residential community corrections program deemed her unable to work because she aggravated a previous spinal stenosis disability. The United States District Court for the District of Colorado, </w:t>
      </w:r>
      <w:hyperlink r:id="r14">
        <w:r>
          <w:rPr>
            <w:rFonts w:ascii="Times New Roman" w:hAnsi="Times New Roman"/>
            <w:color w:val="006fc4"/>
            <w:sz w:val="20"/>
          </w:rPr>
          <w:t>Richard P. Matsch</w:t>
        </w:r>
      </w:hyperlink>
      <w:r>
        <w:rPr>
          <w:rFonts w:ascii="Times New Roman" w:hAnsi="Times New Roman"/>
          <w:color w:val="1f1f1f"/>
          <w:sz w:val="20"/>
        </w:rPr>
        <w:t xml:space="preserve">, Senior District Judge, </w:t>
      </w:r>
      <w:hyperlink r:id="r15">
        <w:r>
          <w:rPr>
            <w:rFonts w:ascii="Times New Roman" w:hAnsi="Times New Roman"/>
            <w:color w:val="006fc4"/>
            <w:sz w:val="20"/>
          </w:rPr>
          <w:t>2019 WL 8231043</w:t>
        </w:r>
      </w:hyperlink>
      <w:r>
        <w:rPr>
          <w:rFonts w:ascii="Times New Roman" w:hAnsi="Times New Roman"/>
          <w:color w:val="1f1f1f"/>
          <w:sz w:val="20"/>
        </w:rPr>
        <w:t>, granted summary judgment to defendants. Prisoner appealed.</w:t>
      </w:r>
    </w:p>
    <w:p>
      <w:pPr>
        <w:spacing w:before="0" w:after="0" w:line="275" w:lineRule="atLeast"/>
        <w:jc w:val="both"/>
      </w:pPr>
      <w:r>
        <w:rPr>
          <w:rFonts w:ascii="Times New Roman" w:hAnsi="Times New Roman"/>
          <w:color w:val="1f1f1f"/>
          <w:sz w:val="20"/>
        </w:rPr>
        <w:t> </w:t>
      </w:r>
    </w:p>
    <w:p>
      <w:pPr>
        <w:spacing w:before="400" w:after="0" w:line="275" w:lineRule="atLeast"/>
        <w:jc w:val="both"/>
      </w:pPr>
      <w:r>
        <w:rPr>
          <w:rFonts w:ascii="Times New Roman" w:hAnsi="Times New Roman"/>
          <w:b/>
          <w:color w:val="1f1f1f"/>
          <w:sz w:val="20"/>
        </w:rPr>
        <w:t>Holdings:</w:t>
      </w:r>
      <w:r>
        <w:rPr>
          <w:rFonts w:ascii="Times New Roman" w:hAnsi="Times New Roman"/>
          <w:color w:val="1f1f1f"/>
          <w:sz w:val="20"/>
        </w:rPr>
        <w:t xml:space="preserve"> On rehearing, the Court of Appeals, </w:t>
      </w:r>
      <w:hyperlink r:id="r16">
        <w:r>
          <w:rPr>
            <w:rFonts w:ascii="Times New Roman" w:hAnsi="Times New Roman"/>
            <w:color w:val="006fc4"/>
            <w:sz w:val="20"/>
          </w:rPr>
          <w:t>Bacharach</w:t>
        </w:r>
      </w:hyperlink>
      <w:r>
        <w:rPr>
          <w:rFonts w:ascii="Times New Roman" w:hAnsi="Times New Roman"/>
          <w:color w:val="1f1f1f"/>
          <w:sz w:val="20"/>
        </w:rPr>
        <w:t>, Circuit Judge, held that: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92051884015_1">
        <w:r>
          <w:rPr>
            <w:rFonts w:ascii="Times New Roman" w:hAnsi="Times New Roman"/>
            <w:color w:val="006fc4"/>
            <w:sz w:val="20"/>
            <w:vertAlign w:val="superscript"/>
          </w:rPr>
          <w:t>[1]</w:t>
        </w:r>
      </w:hyperlink>
      <w:r>
        <w:rPr>
          <w:rFonts w:ascii="Times New Roman" w:hAnsi="Times New Roman"/>
          <w:color w:val="1f1f1f"/>
          <w:sz w:val="20"/>
        </w:rPr>
        <w:t xml:space="preserve"> exception to mootness, for wrongdoing that was capable of repetition yet evading review, did not apply to plaintiff's claims for declaratory and injunctive relief after she completed her prison sentence;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32051884015_1">
        <w:r>
          <w:rPr>
            <w:rFonts w:ascii="Times New Roman" w:hAnsi="Times New Roman"/>
            <w:color w:val="006fc4"/>
            <w:sz w:val="20"/>
            <w:vertAlign w:val="superscript"/>
          </w:rPr>
          <w:t>[2]</w:t>
        </w:r>
      </w:hyperlink>
      <w:r>
        <w:rPr>
          <w:rFonts w:ascii="Times New Roman" w:hAnsi="Times New Roman"/>
          <w:color w:val="1f1f1f"/>
          <w:sz w:val="20"/>
        </w:rPr>
        <w:t xml:space="preserve"> Rehabilitation Act applied to CDOC and CDCJ as recipients of federal funds;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142051884015_1">
        <w:r>
          <w:rPr>
            <w:rFonts w:ascii="Times New Roman" w:hAnsi="Times New Roman"/>
            <w:color w:val="006fc4"/>
            <w:sz w:val="20"/>
            <w:vertAlign w:val="superscript"/>
          </w:rPr>
          <w:t>[3]</w:t>
        </w:r>
      </w:hyperlink>
      <w:r>
        <w:rPr>
          <w:rFonts w:ascii="Times New Roman" w:hAnsi="Times New Roman"/>
          <w:color w:val="1f1f1f"/>
          <w:sz w:val="20"/>
        </w:rPr>
        <w:t xml:space="preserve"> community corrections program could be considered a program of CDOC and CDCJ for purposes of liability under the ADA and the Rehabilitation Act;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anchor_F212051884015_1">
        <w:r>
          <w:rPr>
            <w:rFonts w:ascii="Times New Roman" w:hAnsi="Times New Roman"/>
            <w:color w:val="006fc4"/>
            <w:sz w:val="20"/>
            <w:vertAlign w:val="superscript"/>
          </w:rPr>
          <w:t>[4]</w:t>
        </w:r>
      </w:hyperlink>
      <w:r>
        <w:rPr>
          <w:rFonts w:ascii="Times New Roman" w:hAnsi="Times New Roman"/>
          <w:color w:val="1f1f1f"/>
          <w:sz w:val="20"/>
        </w:rPr>
        <w:t xml:space="preserve"> rational basis existed, for equal protection purposes, for decision to return plaintiff to prison.</w:t>
      </w:r>
    </w:p>
    <w:p>
      <w:pPr>
        <w:spacing w:before="0" w:after="0" w:line="275" w:lineRule="atLeast"/>
        <w:jc w:val="both"/>
      </w:pPr>
      <w:r>
        <w:rPr>
          <w:rFonts w:ascii="Times New Roman" w:hAnsi="Times New Roman"/>
          <w:color w:val="1f1f1f"/>
          <w:sz w:val="20"/>
        </w:rPr>
        <w:t> </w:t>
      </w:r>
    </w:p>
    <w:p>
      <w:pPr>
        <w:spacing w:before="200" w:after="0" w:line="275" w:lineRule="atLeast"/>
        <w:jc w:val="both"/>
      </w:pPr>
      <w:r>
        <w:rPr>
          <w:rFonts w:ascii="Times New Roman" w:hAnsi="Times New Roman"/>
          <w:color w:val="1f1f1f"/>
          <w:sz w:val="20"/>
        </w:rPr>
        <w:t>Affirmed in part, reversed in part, and remanded.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Opinion, </w:t>
      </w:r>
      <w:hyperlink r:id="r17">
        <w:r>
          <w:rPr>
            <w:rFonts w:ascii="Times New Roman" w:hAnsi="Times New Roman"/>
            <w:color w:val="006fc4"/>
            <w:sz w:val="20"/>
          </w:rPr>
          <w:t>958 F.3d 1001</w:t>
        </w:r>
      </w:hyperlink>
      <w:r>
        <w:rPr>
          <w:rFonts w:ascii="Times New Roman" w:hAnsi="Times New Roman"/>
          <w:color w:val="1f1f1f"/>
          <w:sz w:val="20"/>
        </w:rPr>
        <w:t>, superseded.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b/>
          <w:color w:val="1f1f1f"/>
          <w:sz w:val="20"/>
        </w:rPr>
        <w:t>Procedural Posture(s):</w:t>
      </w:r>
      <w:r>
        <w:rPr>
          <w:rFonts w:ascii="Times New Roman" w:hAnsi="Times New Roman"/>
          <w:color w:val="1f1f1f"/>
          <w:sz w:val="20"/>
        </w:rPr>
        <w:t xml:space="preserve"> On Appeal; Motion for Summary Judgment.</w:t>
      </w:r>
    </w:p>
    <w:bookmarkStart w:id="3" w:name="co_headnotes_1"/>
    <w:bookmarkStart w:id="4"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(23)</w:t>
      </w:r>
    </w:p>
    <w:bookmarkEnd w:id="4"/>
    <w:bookmarkEnd w:id="3"/>
    <w:p>
      <w:pPr>
        <w:spacing w:before="0" w:after="0" w:line="240" w:lineRule="auto"/>
        <w:rPr>
          <w:sz w:val="20"/>
        </w:rPr>
      </w:pPr>
    </w:p>
    <w:tbl>
      <w:tblPr>
        <w:tblInd w:w="30" w:type="dxa"/>
        <w:tblLayout w:type="fixed"/>
      </w:tblPr>
      <w:tblGrid>
        <w:gridCol w:w="600"/>
        <w:gridCol w:w="9450"/>
      </w:tblGrid>
      <w:bookmarkStart w:id="5" w:name="co_expandedHeadnotes_1"/>
      <w:bookmarkStart w:id="6" w:name="co_anchor_2051884015001_1"/>
      <w:bookmarkStart w:id="7" w:name="Athens_headnoteCell_F12051884015_1"/>
      <w:bookmarkStart w:id="8" w:name="co_headnotesTable_1"/>
      <w:tr>
        <w:tblPrEx/>
        <w:trPr/>
        <w:tc>
          <w:tcPr>
            <w:tcMar>
              <w:left w:w="30" w:type="dxa"/>
              <w:right w:w="30" w:type="dxa"/>
            </w:tcMar>
            <w:vAlign w:val="top"/>
          </w:tcPr>
          <w:p>
            <w:pPr>
              <w:spacing w:before="0" w:after="0" w:line="275" w:lineRule="atLeast"/>
            </w:pPr>
            <w:bookmarkStart w:id="9" w:name="co_anchor_F12051884015_1"/>
            <w:bookmarkStart w:id="10" w:name="co_anchor_headNote_[1]_1"/>
            <w:hyperlink w:anchor="co_pp_HNF1_1">
              <w:r>
                <w:rPr>
                  <w:rFonts w:ascii="Times New Roman" w:hAnsi="Times New Roman"/>
                  <w:b/>
                  <w:color w:val="006fc4"/>
                  <w:sz w:val="20"/>
                  <w:vertAlign w:val="superscript"/>
                </w:rPr>
                <w:t>[1]</w:t>
              </w:r>
            </w:hyperlink>
            <w:bookmarkEnd w:id="10"/>
            <w:bookmarkEnd w:id="9"/>
          </w:p>
        </w:tc>
        <w:tc>
          <w:tcPr>
            <w:tcMar>
              <w:left w:w="30" w:type="dxa"/>
              <w:right w:w="30" w:type="dxa"/>
            </w:tcMar>
            <w:vAlign w:val="top"/>
          </w:tcPr>
          <w:p>
            <w:pPr>
              <w:pBdr>
                <w:bottom w:val="none" w:space="2"/>
              </w:pBdr>
              <w:spacing w:before="0" w:after="0" w:line="275" w:lineRule="atLeast"/>
            </w:pPr>
            <w:hyperlink r:id="r18">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 name="Picture 1" descr="Display Key Number Topics"/>
                  <a:graphic>
                    <a:graphicData uri="http://schemas.openxmlformats.org/drawingml/2006/picture">
                      <p:pic>
                        <p:nvPicPr>
                          <p:cNvPr id="2" name="Picture 1" descr="Display Key Number Topics"/>
                          <p:cNvPicPr/>
                        </p:nvPicPr>
                        <p:blipFill>
                          <a:blip r:embed="r21"/>
                          <a:srcRect/>
                          <a:stretch>
                            <a:fillRect/>
                          </a:stretch>
                        </p:blipFill>
                        <p:spPr>
                          <a:xfrm>
                            <a:off x="0" y="0"/>
                            <a:ext cx="133350" cy="76200"/>
                          </a:xfrm>
                          <a:prstGeom prst="rect"/>
                        </p:spPr>
                      </p:pic>
                    </a:graphicData>
                  </a:graphic>
                </wp:inline>
              </w:drawing>
            </w:r>
            <w:hyperlink r:id="r19">
              <w:r>
                <w:rPr>
                  <w:rFonts w:ascii="Times New Roman" w:hAnsi="Times New Roman"/>
                  <w:color w:val="006fc4"/>
                  <w:sz w:val="20"/>
                </w:rPr>
                <w:t>Jurisdiction</w:t>
              </w:r>
            </w:hyperlink>
          </w:p>
        </w:tc>
      </w:tr>
      <w:bookmarkEnd w:id="8"/>
      <w:bookmarkEnd w:id="7"/>
      <w:bookmarkEnd w:id="6"/>
      <w:bookmarkEnd w:id="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The Court of Appeals engages in de novo review of a challenge to a district court's determination of mootness.</w:t>
            </w:r>
          </w:p>
          <w:bookmarkStart w:id="11" w:name="co_headnoteId_2051884015001202308311423"/>
          <w:p>
            <w:pPr>
              <w:spacing w:before="200" w:after="0" w:line="275" w:lineRule="atLeast"/>
              <w:jc w:val="both"/>
            </w:pPr>
            <w:hyperlink r:id="r20">
              <w:r>
                <w:rPr>
                  <w:rFonts w:ascii="Times New Roman" w:hAnsi="Times New Roman"/>
                  <w:color w:val="006fc4"/>
                  <w:sz w:val="20"/>
                </w:rPr>
                <w:t>1 Case that cites this headnote</w:t>
              </w:r>
            </w:hyperlink>
          </w:p>
          <w:bookmarkEnd w:id="11"/>
        </w:tc>
      </w:tr>
    </w:tbl>
    <w:p>
      <w:pPr>
        <w:spacing w:before="0" w:after="0" w:line="240" w:lineRule="auto"/>
        <w:rPr>
          <w:sz w:val="20"/>
        </w:rPr>
      </w:pPr>
    </w:p>
    <w:tbl>
      <w:tblPr>
        <w:tblInd w:w="30" w:type="dxa"/>
        <w:tblLayout w:type="fixed"/>
      </w:tblPr>
      <w:tblGrid>
        <w:gridCol w:w="600"/>
        <w:gridCol w:w="9450"/>
      </w:tblGrid>
      <w:bookmarkStart w:id="12" w:name="co_anchor_2051884015002_1"/>
      <w:bookmarkStart w:id="13" w:name="Athens_headnoteCell_F22051884015_1"/>
      <w:bookmarkStart w:id="14" w:name="co_headnotesTable_0_1"/>
      <w:tr>
        <w:tblPrEx/>
        <w:trPr/>
        <w:tc>
          <w:tcPr>
            <w:tcMar>
              <w:left w:w="30" w:type="dxa"/>
              <w:right w:w="30" w:type="dxa"/>
            </w:tcMar>
            <w:vAlign w:val="top"/>
          </w:tcPr>
          <w:p>
            <w:pPr>
              <w:spacing w:before="0" w:after="0" w:line="275" w:lineRule="atLeast"/>
            </w:pPr>
            <w:bookmarkStart w:id="15" w:name="co_anchor_F22051884015_1"/>
            <w:bookmarkStart w:id="16" w:name="co_anchor_headNote_[2]_1"/>
            <w:hyperlink w:anchor="co_pp_HNF2_1">
              <w:r>
                <w:rPr>
                  <w:rFonts w:ascii="Times New Roman" w:hAnsi="Times New Roman"/>
                  <w:b/>
                  <w:color w:val="006fc4"/>
                  <w:sz w:val="20"/>
                  <w:vertAlign w:val="superscript"/>
                </w:rPr>
                <w:t>[2]</w:t>
              </w:r>
            </w:hyperlink>
            <w:bookmarkEnd w:id="16"/>
            <w:bookmarkEnd w:id="15"/>
          </w:p>
        </w:tc>
        <w:tc>
          <w:tcPr>
            <w:tcMar>
              <w:left w:w="30" w:type="dxa"/>
              <w:right w:w="30" w:type="dxa"/>
            </w:tcMar>
            <w:vAlign w:val="top"/>
          </w:tcPr>
          <w:p>
            <w:pPr>
              <w:pBdr>
                <w:bottom w:val="none" w:space="2"/>
              </w:pBdr>
              <w:spacing w:before="0" w:after="0" w:line="275" w:lineRule="atLeast"/>
            </w:pPr>
            <w:hyperlink r:id="r22">
              <w:r>
                <w:rPr>
                  <w:rFonts w:ascii="Times New Roman" w:hAnsi="Times New Roman"/>
                  <w:b/>
                  <w:color w:val="006fc4"/>
                  <w:sz w:val="20"/>
                </w:rPr>
                <w:t>Federal Courts</w:t>
              </w:r>
            </w:hyperlink>
            <w:r>
              <w:rPr>
                <w:rFonts w:ascii="Times New Roman" w:hAnsi="Times New Roman"/>
                <w:color w:val="1f1f1f"/>
                <w:sz w:val="20"/>
              </w:rPr>
              <w:drawing>
                <wp:inline>
                  <wp:extent cx="133350" cy="76200"/>
                  <wp:docPr id="3" name="Picture 1" descr="Display Key Number Topics"/>
                  <a:graphic>
                    <a:graphicData uri="http://schemas.openxmlformats.org/drawingml/2006/picture">
                      <p:pic>
                        <p:nvPicPr>
                          <p:cNvPr id="4" name="Picture 1" descr="Display Key Number Topics"/>
                          <p:cNvPicPr/>
                        </p:nvPicPr>
                        <p:blipFill>
                          <a:blip r:embed="r21"/>
                          <a:srcRect/>
                          <a:stretch>
                            <a:fillRect/>
                          </a:stretch>
                        </p:blipFill>
                        <p:spPr>
                          <a:xfrm>
                            <a:off x="0" y="0"/>
                            <a:ext cx="133350" cy="76200"/>
                          </a:xfrm>
                          <a:prstGeom prst="rect"/>
                        </p:spPr>
                      </p:pic>
                    </a:graphicData>
                  </a:graphic>
                </wp:inline>
              </w:drawing>
            </w:r>
            <w:hyperlink r:id="r23">
              <w:r>
                <w:rPr>
                  <w:rFonts w:ascii="Times New Roman" w:hAnsi="Times New Roman"/>
                  <w:color w:val="006fc4"/>
                  <w:sz w:val="20"/>
                </w:rPr>
                <w:t>Jurisdiction, Powers, and Authority in General</w:t>
              </w:r>
            </w:hyperlink>
          </w:p>
        </w:tc>
      </w:tr>
      <w:bookmarkEnd w:id="14"/>
      <w:bookmarkEnd w:id="13"/>
      <w:bookmarkEnd w:id="1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Federal jurisdiction exists only if the court could grant relief affecting the plaintiff's rights.</w:t>
            </w:r>
          </w:p>
        </w:tc>
      </w:tr>
    </w:tbl>
    <w:p>
      <w:pPr>
        <w:spacing w:before="0" w:after="0" w:line="240" w:lineRule="auto"/>
        <w:rPr>
          <w:sz w:val="20"/>
        </w:rPr>
      </w:pPr>
    </w:p>
    <w:tbl>
      <w:tblPr>
        <w:tblInd w:w="30" w:type="dxa"/>
        <w:tblLayout w:type="fixed"/>
      </w:tblPr>
      <w:tblGrid>
        <w:gridCol w:w="600"/>
        <w:gridCol w:w="9450"/>
      </w:tblGrid>
      <w:bookmarkStart w:id="17" w:name="co_headnoteId_2051884015002202308311423"/>
      <w:bookmarkStart w:id="18" w:name="co_anchor_2051884015003_1"/>
      <w:bookmarkStart w:id="19" w:name="Athens_headnoteCell_F32051884015_1"/>
      <w:bookmarkStart w:id="20" w:name="co_headnotesTable_1_1"/>
      <w:tr>
        <w:tblPrEx/>
        <w:trPr/>
        <w:tc>
          <w:tcPr>
            <w:tcMar>
              <w:left w:w="30" w:type="dxa"/>
              <w:right w:w="30" w:type="dxa"/>
            </w:tcMar>
            <w:vAlign w:val="top"/>
          </w:tcPr>
          <w:p>
            <w:pPr>
              <w:spacing w:before="0" w:after="0" w:line="275" w:lineRule="atLeast"/>
            </w:pPr>
            <w:bookmarkStart w:id="21" w:name="co_anchor_F32051884015_1"/>
            <w:bookmarkStart w:id="22" w:name="co_anchor_headNote_[3]_1"/>
            <w:hyperlink w:anchor="co_pp_HNF3_1">
              <w:r>
                <w:rPr>
                  <w:rFonts w:ascii="Times New Roman" w:hAnsi="Times New Roman"/>
                  <w:b/>
                  <w:color w:val="006fc4"/>
                  <w:sz w:val="20"/>
                  <w:vertAlign w:val="superscript"/>
                </w:rPr>
                <w:t>[3]</w:t>
              </w:r>
            </w:hyperlink>
            <w:bookmarkEnd w:id="22"/>
            <w:bookmarkEnd w:id="21"/>
          </w:p>
        </w:tc>
        <w:tc>
          <w:tcPr>
            <w:tcMar>
              <w:left w:w="30" w:type="dxa"/>
              <w:right w:w="30" w:type="dxa"/>
            </w:tcMar>
            <w:vAlign w:val="top"/>
          </w:tcPr>
          <w:p>
            <w:pPr>
              <w:pBdr>
                <w:bottom w:val="none" w:space="2"/>
              </w:pBdr>
              <w:spacing w:before="0" w:after="0" w:line="275" w:lineRule="atLeast"/>
            </w:pPr>
            <w:hyperlink r:id="r24">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 name="Picture 1" descr="Display Key Number Topics"/>
                  <a:graphic>
                    <a:graphicData uri="http://schemas.openxmlformats.org/drawingml/2006/picture">
                      <p:pic>
                        <p:nvPicPr>
                          <p:cNvPr id="6" name="Picture 1" descr="Display Key Number Topics"/>
                          <p:cNvPicPr/>
                        </p:nvPicPr>
                        <p:blipFill>
                          <a:blip r:embed="r21"/>
                          <a:srcRect/>
                          <a:stretch>
                            <a:fillRect/>
                          </a:stretch>
                        </p:blipFill>
                        <p:spPr>
                          <a:xfrm>
                            <a:off x="0" y="0"/>
                            <a:ext cx="133350" cy="76200"/>
                          </a:xfrm>
                          <a:prstGeom prst="rect"/>
                        </p:spPr>
                      </p:pic>
                    </a:graphicData>
                  </a:graphic>
                </wp:inline>
              </w:drawing>
            </w:r>
            <w:hyperlink r:id="r25">
              <w:r>
                <w:rPr>
                  <w:rFonts w:ascii="Times New Roman" w:hAnsi="Times New Roman"/>
                  <w:color w:val="006fc4"/>
                  <w:sz w:val="20"/>
                </w:rPr>
                <w:t>Timeliness issues</w:t>
              </w:r>
            </w:hyperlink>
          </w:p>
        </w:tc>
      </w:tr>
      <w:bookmarkEnd w:id="20"/>
      <w:bookmarkEnd w:id="19"/>
      <w:bookmarkEnd w:id="18"/>
      <w:bookmarkEnd w:id="1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Federal jurisdiction must exist throughout the litigation, even as circumstances change.</w:t>
            </w:r>
          </w:p>
        </w:tc>
      </w:tr>
    </w:tbl>
    <w:p>
      <w:pPr>
        <w:spacing w:before="0" w:after="0" w:line="240" w:lineRule="auto"/>
        <w:rPr>
          <w:sz w:val="20"/>
        </w:rPr>
      </w:pPr>
    </w:p>
    <w:tbl>
      <w:tblPr>
        <w:tblInd w:w="30" w:type="dxa"/>
        <w:tblLayout w:type="fixed"/>
      </w:tblPr>
      <w:tblGrid>
        <w:gridCol w:w="600"/>
        <w:gridCol w:w="9450"/>
      </w:tblGrid>
      <w:bookmarkStart w:id="23" w:name="co_headnoteId_2051884015003202308311423"/>
      <w:bookmarkStart w:id="24" w:name="co_anchor_2051884015004_1"/>
      <w:bookmarkStart w:id="25" w:name="Athens_headnoteCell_F42051884015_1"/>
      <w:bookmarkStart w:id="26" w:name="co_headnotesTable_2_1"/>
      <w:tr>
        <w:tblPrEx/>
        <w:trPr/>
        <w:tc>
          <w:tcPr>
            <w:tcMar>
              <w:left w:w="30" w:type="dxa"/>
              <w:right w:w="30" w:type="dxa"/>
            </w:tcMar>
            <w:vAlign w:val="top"/>
          </w:tcPr>
          <w:p>
            <w:pPr>
              <w:spacing w:before="0" w:after="0" w:line="275" w:lineRule="atLeast"/>
            </w:pPr>
            <w:bookmarkStart w:id="27" w:name="co_anchor_F42051884015_1"/>
            <w:bookmarkStart w:id="28" w:name="co_anchor_headNote_[4]_1"/>
            <w:hyperlink w:anchor="co_pp_HNF4_1">
              <w:r>
                <w:rPr>
                  <w:rFonts w:ascii="Times New Roman" w:hAnsi="Times New Roman"/>
                  <w:b/>
                  <w:color w:val="006fc4"/>
                  <w:sz w:val="20"/>
                  <w:vertAlign w:val="superscript"/>
                </w:rPr>
                <w:t>[4]</w:t>
              </w:r>
            </w:hyperlink>
            <w:bookmarkEnd w:id="28"/>
            <w:bookmarkEnd w:id="27"/>
          </w:p>
        </w:tc>
        <w:tc>
          <w:tcPr>
            <w:tcMar>
              <w:left w:w="30" w:type="dxa"/>
              <w:right w:w="30" w:type="dxa"/>
            </w:tcMar>
            <w:vAlign w:val="top"/>
          </w:tcPr>
          <w:p>
            <w:pPr>
              <w:pBdr>
                <w:bottom w:val="none" w:space="2"/>
              </w:pBdr>
              <w:spacing w:before="0" w:after="0" w:line="275" w:lineRule="atLeast"/>
            </w:pPr>
            <w:hyperlink r:id="r26">
              <w:r>
                <w:rPr>
                  <w:rFonts w:ascii="Times New Roman" w:hAnsi="Times New Roman"/>
                  <w:b/>
                  <w:color w:val="006fc4"/>
                  <w:sz w:val="20"/>
                </w:rPr>
                <w:t>Federal Courts</w:t>
              </w:r>
            </w:hyperlink>
            <w:r>
              <w:rPr>
                <w:rFonts w:ascii="Times New Roman" w:hAnsi="Times New Roman"/>
                <w:color w:val="1f1f1f"/>
                <w:sz w:val="20"/>
              </w:rPr>
              <w:drawing>
                <wp:inline>
                  <wp:extent cx="133350" cy="76200"/>
                  <wp:docPr id="7" name="Picture 1" descr="Display Key Number Topics"/>
                  <a:graphic>
                    <a:graphicData uri="http://schemas.openxmlformats.org/drawingml/2006/picture">
                      <p:pic>
                        <p:nvPicPr>
                          <p:cNvPr id="8" name="Picture 1" descr="Display Key Number Topics"/>
                          <p:cNvPicPr/>
                        </p:nvPicPr>
                        <p:blipFill>
                          <a:blip r:embed="r21"/>
                          <a:srcRect/>
                          <a:stretch>
                            <a:fillRect/>
                          </a:stretch>
                        </p:blipFill>
                        <p:spPr>
                          <a:xfrm>
                            <a:off x="0" y="0"/>
                            <a:ext cx="133350" cy="76200"/>
                          </a:xfrm>
                          <a:prstGeom prst="rect"/>
                        </p:spPr>
                      </p:pic>
                    </a:graphicData>
                  </a:graphic>
                </wp:inline>
              </w:drawing>
            </w:r>
            <w:hyperlink r:id="r27">
              <w:r>
                <w:rPr>
                  <w:rFonts w:ascii="Times New Roman" w:hAnsi="Times New Roman"/>
                  <w:color w:val="006fc4"/>
                  <w:sz w:val="20"/>
                </w:rPr>
                <w:t>Available and effective relief</w:t>
              </w:r>
            </w:hyperlink>
          </w:p>
        </w:tc>
      </w:tr>
      <w:bookmarkEnd w:id="26"/>
      <w:bookmarkEnd w:id="25"/>
      <w:bookmarkEnd w:id="24"/>
      <w:bookmarkEnd w:id="2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When circumstances change and the court can no longer affect the plaintiff's rights, the case ordinarily becomes moot.</w:t>
            </w:r>
          </w:p>
        </w:tc>
      </w:tr>
    </w:tbl>
    <w:p>
      <w:pPr>
        <w:spacing w:before="0" w:after="0" w:line="240" w:lineRule="auto"/>
        <w:rPr>
          <w:sz w:val="20"/>
        </w:rPr>
      </w:pPr>
    </w:p>
    <w:tbl>
      <w:tblPr>
        <w:tblInd w:w="30" w:type="dxa"/>
        <w:tblLayout w:type="fixed"/>
      </w:tblPr>
      <w:tblGrid>
        <w:gridCol w:w="600"/>
        <w:gridCol w:w="9450"/>
      </w:tblGrid>
      <w:bookmarkStart w:id="29" w:name="co_headnoteId_2051884015004202308311423"/>
      <w:bookmarkStart w:id="30" w:name="co_anchor_2051884015005_1"/>
      <w:bookmarkStart w:id="31" w:name="Athens_headnoteCell_F52051884015_1"/>
      <w:bookmarkStart w:id="32" w:name="co_headnotesTable_3_1"/>
      <w:tr>
        <w:tblPrEx/>
        <w:trPr/>
        <w:tc>
          <w:tcPr>
            <w:tcMar>
              <w:left w:w="30" w:type="dxa"/>
              <w:right w:w="30" w:type="dxa"/>
            </w:tcMar>
            <w:vAlign w:val="top"/>
          </w:tcPr>
          <w:p>
            <w:pPr>
              <w:spacing w:before="0" w:after="0" w:line="275" w:lineRule="atLeast"/>
            </w:pPr>
            <w:bookmarkStart w:id="33" w:name="co_anchor_F52051884015_1"/>
            <w:bookmarkStart w:id="34" w:name="co_anchor_headNote_[5]_1"/>
            <w:hyperlink w:anchor="co_pp_HNF5_1">
              <w:r>
                <w:rPr>
                  <w:rFonts w:ascii="Times New Roman" w:hAnsi="Times New Roman"/>
                  <w:b/>
                  <w:color w:val="006fc4"/>
                  <w:sz w:val="20"/>
                  <w:vertAlign w:val="superscript"/>
                </w:rPr>
                <w:t>[5]</w:t>
              </w:r>
            </w:hyperlink>
            <w:bookmarkEnd w:id="34"/>
            <w:bookmarkEnd w:id="33"/>
          </w:p>
        </w:tc>
        <w:tc>
          <w:tcPr>
            <w:tcMar>
              <w:left w:w="30" w:type="dxa"/>
              <w:right w:w="30" w:type="dxa"/>
            </w:tcMar>
            <w:vAlign w:val="top"/>
          </w:tcPr>
          <w:p>
            <w:pPr>
              <w:pBdr>
                <w:bottom w:val="none" w:space="2"/>
              </w:pBdr>
              <w:spacing w:before="0" w:after="0" w:line="275" w:lineRule="atLeast"/>
            </w:pPr>
            <w:hyperlink r:id="r28">
              <w:r>
                <w:rPr>
                  <w:rFonts w:ascii="Times New Roman" w:hAnsi="Times New Roman"/>
                  <w:b/>
                  <w:color w:val="006fc4"/>
                  <w:sz w:val="20"/>
                </w:rPr>
                <w:t>Federal Courts</w:t>
              </w:r>
            </w:hyperlink>
            <w:r>
              <w:rPr>
                <w:rFonts w:ascii="Times New Roman" w:hAnsi="Times New Roman"/>
                <w:color w:val="1f1f1f"/>
                <w:sz w:val="20"/>
              </w:rPr>
              <w:drawing>
                <wp:inline>
                  <wp:extent cx="133350" cy="76200"/>
                  <wp:docPr id="9" name="Picture 1" descr="Display Key Number Topics"/>
                  <a:graphic>
                    <a:graphicData uri="http://schemas.openxmlformats.org/drawingml/2006/picture">
                      <p:pic>
                        <p:nvPicPr>
                          <p:cNvPr id="10" name="Picture 1" descr="Display Key Number Topics"/>
                          <p:cNvPicPr/>
                        </p:nvPicPr>
                        <p:blipFill>
                          <a:blip r:embed="r21"/>
                          <a:srcRect/>
                          <a:stretch>
                            <a:fillRect/>
                          </a:stretch>
                        </p:blipFill>
                        <p:spPr>
                          <a:xfrm>
                            <a:off x="0" y="0"/>
                            <a:ext cx="133350" cy="76200"/>
                          </a:xfrm>
                          <a:prstGeom prst="rect"/>
                        </p:spPr>
                      </p:pic>
                    </a:graphicData>
                  </a:graphic>
                </wp:inline>
              </w:drawing>
            </w:r>
            <w:hyperlink r:id="r29">
              <w:r>
                <w:rPr>
                  <w:rFonts w:ascii="Times New Roman" w:hAnsi="Times New Roman"/>
                  <w:color w:val="006fc4"/>
                  <w:sz w:val="20"/>
                </w:rPr>
                <w:t>Inception and duration of dispute;  recurrence;  "capable of repetition yet evading review"</w:t>
              </w:r>
            </w:hyperlink>
          </w:p>
        </w:tc>
      </w:tr>
      <w:bookmarkEnd w:id="32"/>
      <w:bookmarkEnd w:id="31"/>
      <w:bookmarkEnd w:id="30"/>
      <w:bookmarkEnd w:id="29"/>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An exception to mootness exists when the wrongdoing is capable of repetition yet evading review.</w:t>
            </w:r>
          </w:p>
          <w:bookmarkStart w:id="35" w:name="co_headnoteId_2051884015005202308311423"/>
          <w:p>
            <w:pPr>
              <w:spacing w:before="200" w:after="0" w:line="275" w:lineRule="atLeast"/>
              <w:jc w:val="both"/>
            </w:pPr>
            <w:hyperlink r:id="r30">
              <w:r>
                <w:rPr>
                  <w:rFonts w:ascii="Times New Roman" w:hAnsi="Times New Roman"/>
                  <w:color w:val="006fc4"/>
                  <w:sz w:val="20"/>
                </w:rPr>
                <w:t>5 Cases that cite this headnote</w:t>
              </w:r>
            </w:hyperlink>
          </w:p>
          <w:bookmarkEnd w:id="35"/>
        </w:tc>
      </w:tr>
    </w:tbl>
    <w:p>
      <w:pPr>
        <w:spacing w:before="0" w:after="0" w:line="240" w:lineRule="auto"/>
        <w:rPr>
          <w:sz w:val="20"/>
        </w:rPr>
      </w:pPr>
    </w:p>
    <w:tbl>
      <w:tblPr>
        <w:tblInd w:w="30" w:type="dxa"/>
        <w:tblLayout w:type="fixed"/>
      </w:tblPr>
      <w:tblGrid>
        <w:gridCol w:w="600"/>
        <w:gridCol w:w="9450"/>
      </w:tblGrid>
      <w:bookmarkStart w:id="36" w:name="co_anchor_2051884015006_1"/>
      <w:bookmarkStart w:id="37" w:name="Athens_headnoteCell_F62051884015_1"/>
      <w:bookmarkStart w:id="38" w:name="co_headnotesTable_4_1"/>
      <w:tr>
        <w:tblPrEx/>
        <w:trPr/>
        <w:tc>
          <w:tcPr>
            <w:tcMar>
              <w:left w:w="30" w:type="dxa"/>
              <w:right w:w="30" w:type="dxa"/>
            </w:tcMar>
            <w:vAlign w:val="top"/>
          </w:tcPr>
          <w:p>
            <w:pPr>
              <w:spacing w:before="0" w:after="0" w:line="275" w:lineRule="atLeast"/>
            </w:pPr>
            <w:bookmarkStart w:id="39" w:name="co_anchor_F62051884015_1"/>
            <w:bookmarkStart w:id="40" w:name="co_anchor_headNote_[6]_1"/>
            <w:hyperlink w:anchor="co_pp_HNF6_1">
              <w:r>
                <w:rPr>
                  <w:rFonts w:ascii="Times New Roman" w:hAnsi="Times New Roman"/>
                  <w:b/>
                  <w:color w:val="006fc4"/>
                  <w:sz w:val="20"/>
                  <w:vertAlign w:val="superscript"/>
                </w:rPr>
                <w:t>[6]</w:t>
              </w:r>
            </w:hyperlink>
            <w:bookmarkEnd w:id="40"/>
            <w:bookmarkEnd w:id="39"/>
          </w:p>
        </w:tc>
        <w:tc>
          <w:tcPr>
            <w:tcMar>
              <w:left w:w="30" w:type="dxa"/>
              <w:right w:w="30" w:type="dxa"/>
            </w:tcMar>
            <w:vAlign w:val="top"/>
          </w:tcPr>
          <w:p>
            <w:pPr>
              <w:pBdr>
                <w:bottom w:val="none" w:space="2"/>
              </w:pBdr>
              <w:spacing w:before="0" w:after="0" w:line="275" w:lineRule="atLeast"/>
            </w:pPr>
            <w:hyperlink r:id="r31">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1" name="Picture 1" descr="Display Key Number Topics"/>
                  <a:graphic>
                    <a:graphicData uri="http://schemas.openxmlformats.org/drawingml/2006/picture">
                      <p:pic>
                        <p:nvPicPr>
                          <p:cNvPr id="12" name="Picture 1" descr="Display Key Number Topics"/>
                          <p:cNvPicPr/>
                        </p:nvPicPr>
                        <p:blipFill>
                          <a:blip r:embed="r21"/>
                          <a:srcRect/>
                          <a:stretch>
                            <a:fillRect/>
                          </a:stretch>
                        </p:blipFill>
                        <p:spPr>
                          <a:xfrm>
                            <a:off x="0" y="0"/>
                            <a:ext cx="133350" cy="76200"/>
                          </a:xfrm>
                          <a:prstGeom prst="rect"/>
                        </p:spPr>
                      </p:pic>
                    </a:graphicData>
                  </a:graphic>
                </wp:inline>
              </w:drawing>
            </w:r>
            <w:hyperlink r:id="r32">
              <w:r>
                <w:rPr>
                  <w:rFonts w:ascii="Times New Roman" w:hAnsi="Times New Roman"/>
                  <w:color w:val="006fc4"/>
                  <w:sz w:val="20"/>
                </w:rPr>
                <w:t>Inception and duration of dispute;  recurrence;  "capable of repetition yet evading review"</w:t>
              </w:r>
            </w:hyperlink>
          </w:p>
        </w:tc>
      </w:tr>
      <w:bookmarkEnd w:id="38"/>
      <w:bookmarkEnd w:id="37"/>
      <w:bookmarkEnd w:id="3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The exception to mootness, for wrongdoing that is capable of repetition yet evading review, is narrow and is to be used only in exceptional situations.</w:t>
            </w:r>
          </w:p>
          <w:bookmarkStart w:id="41" w:name="co_headnoteId_2051884015006202308311423"/>
          <w:p>
            <w:pPr>
              <w:spacing w:before="200" w:after="0" w:line="275" w:lineRule="atLeast"/>
              <w:jc w:val="both"/>
            </w:pPr>
            <w:hyperlink r:id="r33">
              <w:r>
                <w:rPr>
                  <w:rFonts w:ascii="Times New Roman" w:hAnsi="Times New Roman"/>
                  <w:color w:val="006fc4"/>
                  <w:sz w:val="20"/>
                </w:rPr>
                <w:t>3 Cases that cite this headnote</w:t>
              </w:r>
            </w:hyperlink>
          </w:p>
          <w:bookmarkEnd w:id="41"/>
        </w:tc>
      </w:tr>
    </w:tbl>
    <w:p>
      <w:pPr>
        <w:spacing w:before="0" w:after="0" w:line="240" w:lineRule="auto"/>
        <w:rPr>
          <w:sz w:val="20"/>
        </w:rPr>
      </w:pPr>
    </w:p>
    <w:tbl>
      <w:tblPr>
        <w:tblInd w:w="30" w:type="dxa"/>
        <w:tblLayout w:type="fixed"/>
      </w:tblPr>
      <w:tblGrid>
        <w:gridCol w:w="600"/>
        <w:gridCol w:w="9450"/>
      </w:tblGrid>
      <w:bookmarkStart w:id="42" w:name="co_anchor_2051884015007_1"/>
      <w:bookmarkStart w:id="43" w:name="Athens_headnoteCell_F72051884015_1"/>
      <w:bookmarkStart w:id="44" w:name="co_headnotesTable_5_1"/>
      <w:tr>
        <w:tblPrEx/>
        <w:trPr/>
        <w:tc>
          <w:tcPr>
            <w:tcMar>
              <w:left w:w="30" w:type="dxa"/>
              <w:right w:w="30" w:type="dxa"/>
            </w:tcMar>
            <w:vAlign w:val="top"/>
          </w:tcPr>
          <w:p>
            <w:pPr>
              <w:spacing w:before="0" w:after="0" w:line="275" w:lineRule="atLeast"/>
            </w:pPr>
            <w:bookmarkStart w:id="45" w:name="co_anchor_F72051884015_1"/>
            <w:bookmarkStart w:id="46" w:name="co_anchor_headNote_[7]_1"/>
            <w:hyperlink w:anchor="co_pp_HNF7_1">
              <w:r>
                <w:rPr>
                  <w:rFonts w:ascii="Times New Roman" w:hAnsi="Times New Roman"/>
                  <w:b/>
                  <w:color w:val="006fc4"/>
                  <w:sz w:val="20"/>
                  <w:vertAlign w:val="superscript"/>
                </w:rPr>
                <w:t>[7]</w:t>
              </w:r>
            </w:hyperlink>
            <w:bookmarkEnd w:id="46"/>
            <w:bookmarkEnd w:id="45"/>
          </w:p>
        </w:tc>
        <w:tc>
          <w:tcPr>
            <w:tcMar>
              <w:left w:w="30" w:type="dxa"/>
              <w:right w:w="30" w:type="dxa"/>
            </w:tcMar>
            <w:vAlign w:val="top"/>
          </w:tcPr>
          <w:p>
            <w:pPr>
              <w:pBdr>
                <w:bottom w:val="none" w:space="2"/>
              </w:pBdr>
              <w:spacing w:before="0" w:after="0" w:line="275" w:lineRule="atLeast"/>
            </w:pPr>
            <w:hyperlink r:id="r34">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3" name="Picture 1" descr="Display Key Number Topics"/>
                  <a:graphic>
                    <a:graphicData uri="http://schemas.openxmlformats.org/drawingml/2006/picture">
                      <p:pic>
                        <p:nvPicPr>
                          <p:cNvPr id="14" name="Picture 1" descr="Display Key Number Topics"/>
                          <p:cNvPicPr/>
                        </p:nvPicPr>
                        <p:blipFill>
                          <a:blip r:embed="r21"/>
                          <a:srcRect/>
                          <a:stretch>
                            <a:fillRect/>
                          </a:stretch>
                        </p:blipFill>
                        <p:spPr>
                          <a:xfrm>
                            <a:off x="0" y="0"/>
                            <a:ext cx="133350" cy="76200"/>
                          </a:xfrm>
                          <a:prstGeom prst="rect"/>
                        </p:spPr>
                      </p:pic>
                    </a:graphicData>
                  </a:graphic>
                </wp:inline>
              </w:drawing>
            </w:r>
            <w:hyperlink r:id="r35">
              <w:r>
                <w:rPr>
                  <w:rFonts w:ascii="Times New Roman" w:hAnsi="Times New Roman"/>
                  <w:color w:val="006fc4"/>
                  <w:sz w:val="20"/>
                </w:rPr>
                <w:t>Inception and duration of dispute;  recurrence;  "capable of repetition yet evading review"</w:t>
              </w:r>
            </w:hyperlink>
          </w:p>
        </w:tc>
      </w:tr>
      <w:bookmarkEnd w:id="44"/>
      <w:bookmarkEnd w:id="43"/>
      <w:bookmarkEnd w:id="4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 plaintiff invoking the exception to mootness, for wrongdoing that is capable of repetition yet evading review, bears the burden of proof.</w:t>
            </w:r>
          </w:p>
          <w:bookmarkStart w:id="47" w:name="co_headnoteId_2051884015007202308311423"/>
          <w:p>
            <w:pPr>
              <w:spacing w:before="200" w:after="0" w:line="275" w:lineRule="atLeast"/>
              <w:jc w:val="both"/>
            </w:pPr>
            <w:hyperlink r:id="r36">
              <w:r>
                <w:rPr>
                  <w:rFonts w:ascii="Times New Roman" w:hAnsi="Times New Roman"/>
                  <w:color w:val="006fc4"/>
                  <w:sz w:val="20"/>
                </w:rPr>
                <w:t>4 Cases that cite this headnote</w:t>
              </w:r>
            </w:hyperlink>
          </w:p>
          <w:bookmarkEnd w:id="47"/>
        </w:tc>
      </w:tr>
    </w:tbl>
    <w:p>
      <w:pPr>
        <w:spacing w:before="0" w:after="0" w:line="240" w:lineRule="auto"/>
        <w:rPr>
          <w:sz w:val="20"/>
        </w:rPr>
      </w:pPr>
    </w:p>
    <w:tbl>
      <w:tblPr>
        <w:tblInd w:w="30" w:type="dxa"/>
        <w:tblLayout w:type="fixed"/>
      </w:tblPr>
      <w:tblGrid>
        <w:gridCol w:w="600"/>
        <w:gridCol w:w="9450"/>
      </w:tblGrid>
      <w:bookmarkStart w:id="48" w:name="co_anchor_2051884015008_1"/>
      <w:bookmarkStart w:id="49" w:name="Athens_headnoteCell_F82051884015_1"/>
      <w:bookmarkStart w:id="50" w:name="co_headnotesTable_6_1"/>
      <w:tr>
        <w:tblPrEx/>
        <w:trPr/>
        <w:tc>
          <w:tcPr>
            <w:tcMar>
              <w:left w:w="30" w:type="dxa"/>
              <w:right w:w="30" w:type="dxa"/>
            </w:tcMar>
            <w:vAlign w:val="top"/>
          </w:tcPr>
          <w:p>
            <w:pPr>
              <w:spacing w:before="0" w:after="0" w:line="275" w:lineRule="atLeast"/>
            </w:pPr>
            <w:bookmarkStart w:id="51" w:name="co_anchor_F82051884015_1"/>
            <w:bookmarkStart w:id="52" w:name="co_anchor_headNote_[8]_1"/>
            <w:hyperlink w:anchor="co_pp_HNF8_1">
              <w:r>
                <w:rPr>
                  <w:rFonts w:ascii="Times New Roman" w:hAnsi="Times New Roman"/>
                  <w:b/>
                  <w:color w:val="006fc4"/>
                  <w:sz w:val="20"/>
                  <w:vertAlign w:val="superscript"/>
                </w:rPr>
                <w:t>[8]</w:t>
              </w:r>
            </w:hyperlink>
            <w:bookmarkEnd w:id="52"/>
            <w:bookmarkEnd w:id="51"/>
          </w:p>
        </w:tc>
        <w:tc>
          <w:tcPr>
            <w:tcMar>
              <w:left w:w="30" w:type="dxa"/>
              <w:right w:w="30" w:type="dxa"/>
            </w:tcMar>
            <w:vAlign w:val="top"/>
          </w:tcPr>
          <w:p>
            <w:pPr>
              <w:pBdr>
                <w:bottom w:val="none" w:space="2"/>
              </w:pBdr>
              <w:spacing w:before="0" w:after="0" w:line="275" w:lineRule="atLeast"/>
            </w:pPr>
            <w:hyperlink r:id="r37">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5" name="Picture 1" descr="Display Key Number Topics"/>
                  <a:graphic>
                    <a:graphicData uri="http://schemas.openxmlformats.org/drawingml/2006/picture">
                      <p:pic>
                        <p:nvPicPr>
                          <p:cNvPr id="16" name="Picture 1" descr="Display Key Number Topics"/>
                          <p:cNvPicPr/>
                        </p:nvPicPr>
                        <p:blipFill>
                          <a:blip r:embed="r21"/>
                          <a:srcRect/>
                          <a:stretch>
                            <a:fillRect/>
                          </a:stretch>
                        </p:blipFill>
                        <p:spPr>
                          <a:xfrm>
                            <a:off x="0" y="0"/>
                            <a:ext cx="133350" cy="76200"/>
                          </a:xfrm>
                          <a:prstGeom prst="rect"/>
                        </p:spPr>
                      </p:pic>
                    </a:graphicData>
                  </a:graphic>
                </wp:inline>
              </w:drawing>
            </w:r>
            <w:hyperlink r:id="r38">
              <w:r>
                <w:rPr>
                  <w:rFonts w:ascii="Times New Roman" w:hAnsi="Times New Roman"/>
                  <w:color w:val="006fc4"/>
                  <w:sz w:val="20"/>
                </w:rPr>
                <w:t>Inception and duration of dispute;  recurrence;  "capable of repetition yet evading review"</w:t>
              </w:r>
            </w:hyperlink>
          </w:p>
        </w:tc>
      </w:tr>
      <w:bookmarkEnd w:id="50"/>
      <w:bookmarkEnd w:id="49"/>
      <w:bookmarkEnd w:id="4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To establish the exception to mootness, for wrongdoing that is capable of repetition yet evading review, the plaintiff must prove that the alleged wrongdoing ended too quickly to be fully litigated, and that a reasonable expectation exists for the plaintiff to again experience the same wrongdoing.</w:t>
            </w:r>
          </w:p>
          <w:bookmarkStart w:id="53" w:name="co_headnoteId_2051884015008202308311423"/>
          <w:p>
            <w:pPr>
              <w:spacing w:before="200" w:after="0" w:line="275" w:lineRule="atLeast"/>
              <w:jc w:val="both"/>
            </w:pPr>
            <w:hyperlink r:id="r39">
              <w:r>
                <w:rPr>
                  <w:rFonts w:ascii="Times New Roman" w:hAnsi="Times New Roman"/>
                  <w:color w:val="006fc4"/>
                  <w:sz w:val="20"/>
                </w:rPr>
                <w:t>1 Case that cites this headnote</w:t>
              </w:r>
            </w:hyperlink>
          </w:p>
          <w:bookmarkEnd w:id="53"/>
        </w:tc>
      </w:tr>
    </w:tbl>
    <w:p>
      <w:pPr>
        <w:spacing w:before="0" w:after="0" w:line="240" w:lineRule="auto"/>
        <w:rPr>
          <w:sz w:val="20"/>
        </w:rPr>
      </w:pPr>
    </w:p>
    <w:tbl>
      <w:tblPr>
        <w:tblInd w:w="30" w:type="dxa"/>
        <w:tblLayout w:type="fixed"/>
      </w:tblPr>
      <w:tblGrid>
        <w:gridCol w:w="600"/>
        <w:gridCol w:w="9450"/>
      </w:tblGrid>
      <w:bookmarkStart w:id="54" w:name="co_anchor_2051884015009_1"/>
      <w:bookmarkStart w:id="55" w:name="Athens_headnoteCell_F92051884015_1"/>
      <w:bookmarkStart w:id="56" w:name="co_headnotesTable_7_1"/>
      <w:tr>
        <w:tblPrEx/>
        <w:trPr/>
        <w:tc>
          <w:tcPr>
            <w:tcMar>
              <w:left w:w="30" w:type="dxa"/>
              <w:right w:w="30" w:type="dxa"/>
            </w:tcMar>
            <w:vAlign w:val="top"/>
          </w:tcPr>
          <w:p>
            <w:pPr>
              <w:spacing w:before="0" w:after="0" w:line="275" w:lineRule="atLeast"/>
            </w:pPr>
            <w:bookmarkStart w:id="57" w:name="co_anchor_F92051884015_1"/>
            <w:bookmarkStart w:id="58" w:name="co_anchor_headNote_[9]_1"/>
            <w:hyperlink w:anchor="co_pp_HNF9_1">
              <w:r>
                <w:rPr>
                  <w:rFonts w:ascii="Times New Roman" w:hAnsi="Times New Roman"/>
                  <w:b/>
                  <w:color w:val="006fc4"/>
                  <w:sz w:val="20"/>
                  <w:vertAlign w:val="superscript"/>
                </w:rPr>
                <w:t>[9]</w:t>
              </w:r>
            </w:hyperlink>
            <w:bookmarkEnd w:id="58"/>
            <w:bookmarkEnd w:id="57"/>
          </w:p>
        </w:tc>
        <w:tc>
          <w:tcPr>
            <w:tcMar>
              <w:left w:w="30" w:type="dxa"/>
              <w:right w:w="30" w:type="dxa"/>
            </w:tcMar>
            <w:vAlign w:val="top"/>
          </w:tcPr>
          <w:p>
            <w:pPr>
              <w:pBdr>
                <w:bottom w:val="none" w:space="2"/>
              </w:pBdr>
              <w:spacing w:before="0" w:after="0" w:line="275" w:lineRule="atLeast"/>
            </w:pPr>
            <w:hyperlink r:id="r40">
              <w:r>
                <w:rPr>
                  <w:rFonts w:ascii="Times New Roman" w:hAnsi="Times New Roman"/>
                  <w:b/>
                  <w:color w:val="006fc4"/>
                  <w:sz w:val="20"/>
                </w:rPr>
                <w:t>Declaratory Judgment</w:t>
              </w:r>
            </w:hyperlink>
            <w:r>
              <w:rPr>
                <w:rFonts w:ascii="Times New Roman" w:hAnsi="Times New Roman"/>
                <w:color w:val="1f1f1f"/>
                <w:sz w:val="20"/>
              </w:rPr>
              <w:drawing>
                <wp:inline>
                  <wp:extent cx="133350" cy="76200"/>
                  <wp:docPr id="17" name="Picture 1" descr="Display Key Number Topics"/>
                  <a:graphic>
                    <a:graphicData uri="http://schemas.openxmlformats.org/drawingml/2006/picture">
                      <p:pic>
                        <p:nvPicPr>
                          <p:cNvPr id="18" name="Picture 1" descr="Display Key Number Topics"/>
                          <p:cNvPicPr/>
                        </p:nvPicPr>
                        <p:blipFill>
                          <a:blip r:embed="r21"/>
                          <a:srcRect/>
                          <a:stretch>
                            <a:fillRect/>
                          </a:stretch>
                        </p:blipFill>
                        <p:spPr>
                          <a:xfrm>
                            <a:off x="0" y="0"/>
                            <a:ext cx="133350" cy="76200"/>
                          </a:xfrm>
                          <a:prstGeom prst="rect"/>
                        </p:spPr>
                      </p:pic>
                    </a:graphicData>
                  </a:graphic>
                </wp:inline>
              </w:drawing>
            </w:r>
            <w:hyperlink r:id="r41">
              <w:r>
                <w:rPr>
                  <w:rFonts w:ascii="Times New Roman" w:hAnsi="Times New Roman"/>
                  <w:color w:val="006fc4"/>
                  <w:sz w:val="20"/>
                </w:rPr>
                <w:t>Criminal laws</w:t>
              </w:r>
            </w:hyperlink>
          </w:p>
        </w:tc>
      </w:tr>
      <w:bookmarkEnd w:id="56"/>
      <w:bookmarkEnd w:id="55"/>
      <w:bookmarkEnd w:id="5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Assuming that plaintiff's return to prison ended too quickly to be litigated, as element of exception to mootness for wrongdoing that was capable of repetition yet evading review, plaintiff was unlikely to experience the same wrongdoing in the future, and thus, the exception did not apply to plaintiff's claims for declaratory and injunctive relief against two state correctional agencies, in action alleging violations of equal protection, the ADA, and the Rehabilitation Act, relating to plaintiff being returned to prison after operator of residential community corrections program deemed her unable to work because she aggravated a previous spinal stenosis disability; plaintiff, who had completed her prison sentence, did not allege that she might return to prison, that she might reenter a community corrections program, or that she might again face regression from such a program based on her inability to work. </w:t>
            </w:r>
            <w:hyperlink r:id="r42">
              <w:r>
                <w:rPr>
                  <w:rFonts w:ascii="Times New Roman" w:hAnsi="Times New Roman"/>
                  <w:color w:val="006fc4"/>
                  <w:sz w:val="20"/>
                </w:rPr>
                <w:t>U.S. Const. Amend. 14</w:t>
              </w:r>
            </w:hyperlink>
            <w:r>
              <w:rPr>
                <w:rFonts w:ascii="Times New Roman" w:hAnsi="Times New Roman"/>
                <w:color w:val="1f1f1f"/>
                <w:sz w:val="20"/>
              </w:rPr>
              <w:t xml:space="preserve">; Rehabilitation Act of 1973 § 504, </w:t>
            </w:r>
            <w:hyperlink r:id="r43">
              <w:r>
                <w:rPr>
                  <w:rFonts w:ascii="Times New Roman" w:hAnsi="Times New Roman"/>
                  <w:color w:val="006fc4"/>
                  <w:sz w:val="20"/>
                </w:rPr>
                <w:t>29 U.S.C.A. § 794(a)</w:t>
              </w:r>
            </w:hyperlink>
            <w:r>
              <w:rPr>
                <w:rFonts w:ascii="Times New Roman" w:hAnsi="Times New Roman"/>
                <w:color w:val="1f1f1f"/>
                <w:sz w:val="20"/>
              </w:rPr>
              <w:t xml:space="preserve">; Americans with Disabilities Act of 1990 § 202, </w:t>
            </w:r>
            <w:hyperlink r:id="r44">
              <w:r>
                <w:rPr>
                  <w:rFonts w:ascii="Times New Roman" w:hAnsi="Times New Roman"/>
                  <w:color w:val="006fc4"/>
                  <w:sz w:val="20"/>
                </w:rPr>
                <w:t>42 U.S.C.A. § 12132</w:t>
              </w:r>
            </w:hyperlink>
            <w:r>
              <w:rPr>
                <w:rFonts w:ascii="Times New Roman" w:hAnsi="Times New Roman"/>
                <w:color w:val="1f1f1f"/>
                <w:sz w:val="20"/>
              </w:rPr>
              <w:t xml:space="preserve">; </w:t>
            </w:r>
            <w:hyperlink r:id="r45">
              <w:r>
                <w:rPr>
                  <w:rFonts w:ascii="Times New Roman" w:hAnsi="Times New Roman"/>
                  <w:color w:val="006fc4"/>
                  <w:sz w:val="20"/>
                </w:rPr>
                <w:t>Colo. Rev. Stat. Ann. §§ 17-27-101</w:t>
              </w:r>
            </w:hyperlink>
            <w:r>
              <w:rPr>
                <w:rFonts w:ascii="Times New Roman" w:hAnsi="Times New Roman"/>
                <w:color w:val="1f1f1f"/>
                <w:sz w:val="20"/>
              </w:rPr>
              <w:t xml:space="preserve">, </w:t>
            </w:r>
            <w:hyperlink r:id="r46">
              <w:r>
                <w:rPr>
                  <w:rFonts w:ascii="Times New Roman" w:hAnsi="Times New Roman"/>
                  <w:color w:val="006fc4"/>
                  <w:sz w:val="20"/>
                </w:rPr>
                <w:t>17-27-103(1, 4)</w:t>
              </w:r>
            </w:hyperlink>
            <w:r>
              <w:rPr>
                <w:rFonts w:ascii="Times New Roman" w:hAnsi="Times New Roman"/>
                <w:color w:val="1f1f1f"/>
                <w:sz w:val="20"/>
              </w:rPr>
              <w:t xml:space="preserve">, </w:t>
            </w:r>
            <w:hyperlink r:id="r47">
              <w:r>
                <w:rPr>
                  <w:rFonts w:ascii="Times New Roman" w:hAnsi="Times New Roman"/>
                  <w:color w:val="006fc4"/>
                  <w:sz w:val="20"/>
                </w:rPr>
                <w:t>17-27-108(1, 2)</w:t>
              </w:r>
            </w:hyperlink>
            <w:r>
              <w:rPr>
                <w:rFonts w:ascii="Times New Roman" w:hAnsi="Times New Roman"/>
                <w:color w:val="1f1f1f"/>
                <w:sz w:val="20"/>
              </w:rPr>
              <w:t>.</w:t>
            </w:r>
          </w:p>
          <w:bookmarkStart w:id="59" w:name="co_headnoteId_2051884015009202308311423"/>
          <w:p>
            <w:pPr>
              <w:spacing w:before="200" w:after="0" w:line="275" w:lineRule="atLeast"/>
              <w:jc w:val="both"/>
            </w:pPr>
            <w:hyperlink r:id="r48">
              <w:r>
                <w:rPr>
                  <w:rFonts w:ascii="Times New Roman" w:hAnsi="Times New Roman"/>
                  <w:color w:val="006fc4"/>
                  <w:sz w:val="20"/>
                </w:rPr>
                <w:t>More cases on this issue</w:t>
              </w:r>
            </w:hyperlink>
          </w:p>
          <w:bookmarkEnd w:id="59"/>
        </w:tc>
      </w:tr>
    </w:tbl>
    <w:p>
      <w:pPr>
        <w:spacing w:before="0" w:after="0" w:line="240" w:lineRule="auto"/>
        <w:rPr>
          <w:sz w:val="20"/>
        </w:rPr>
      </w:pPr>
    </w:p>
    <w:tbl>
      <w:tblPr>
        <w:tblInd w:w="30" w:type="dxa"/>
        <w:tblLayout w:type="fixed"/>
      </w:tblPr>
      <w:tblGrid>
        <w:gridCol w:w="600"/>
        <w:gridCol w:w="9450"/>
      </w:tblGrid>
      <w:bookmarkStart w:id="60" w:name="co_anchor_2051884015010_1"/>
      <w:bookmarkStart w:id="61" w:name="Athens_headnoteCell_F102051884015_1"/>
      <w:bookmarkStart w:id="62" w:name="co_headnotesTable_8_1"/>
      <w:tr>
        <w:tblPrEx/>
        <w:trPr/>
        <w:tc>
          <w:tcPr>
            <w:tcMar>
              <w:left w:w="30" w:type="dxa"/>
              <w:right w:w="30" w:type="dxa"/>
            </w:tcMar>
            <w:vAlign w:val="top"/>
          </w:tcPr>
          <w:p>
            <w:pPr>
              <w:spacing w:before="0" w:after="0" w:line="275" w:lineRule="atLeast"/>
            </w:pPr>
            <w:bookmarkStart w:id="63" w:name="co_anchor_F102051884015_1"/>
            <w:bookmarkStart w:id="64" w:name="co_anchor_headNote_[10]_1"/>
            <w:hyperlink w:anchor="co_pp_HNF10_1">
              <w:r>
                <w:rPr>
                  <w:rFonts w:ascii="Times New Roman" w:hAnsi="Times New Roman"/>
                  <w:b/>
                  <w:color w:val="006fc4"/>
                  <w:sz w:val="20"/>
                  <w:vertAlign w:val="superscript"/>
                </w:rPr>
                <w:t>[10]</w:t>
              </w:r>
            </w:hyperlink>
            <w:bookmarkEnd w:id="64"/>
            <w:bookmarkEnd w:id="63"/>
          </w:p>
        </w:tc>
        <w:tc>
          <w:tcPr>
            <w:tcMar>
              <w:left w:w="30" w:type="dxa"/>
              <w:right w:w="30" w:type="dxa"/>
            </w:tcMar>
            <w:vAlign w:val="top"/>
          </w:tcPr>
          <w:p>
            <w:pPr>
              <w:pBdr>
                <w:bottom w:val="none" w:space="2"/>
              </w:pBdr>
              <w:spacing w:before="0" w:after="0" w:line="275" w:lineRule="atLeast"/>
            </w:pPr>
            <w:hyperlink r:id="r49">
              <w:r>
                <w:rPr>
                  <w:rFonts w:ascii="Times New Roman" w:hAnsi="Times New Roman"/>
                  <w:b/>
                  <w:color w:val="006fc4"/>
                  <w:sz w:val="20"/>
                </w:rPr>
                <w:t>Federal Courts</w:t>
              </w:r>
            </w:hyperlink>
            <w:r>
              <w:rPr>
                <w:rFonts w:ascii="Times New Roman" w:hAnsi="Times New Roman"/>
                <w:color w:val="1f1f1f"/>
                <w:sz w:val="20"/>
              </w:rPr>
              <w:drawing>
                <wp:inline>
                  <wp:extent cx="133350" cy="76200"/>
                  <wp:docPr id="19" name="Picture 1" descr="Display Key Number Topics"/>
                  <a:graphic>
                    <a:graphicData uri="http://schemas.openxmlformats.org/drawingml/2006/picture">
                      <p:pic>
                        <p:nvPicPr>
                          <p:cNvPr id="20" name="Picture 1" descr="Display Key Number Topics"/>
                          <p:cNvPicPr/>
                        </p:nvPicPr>
                        <p:blipFill>
                          <a:blip r:embed="r21"/>
                          <a:srcRect/>
                          <a:stretch>
                            <a:fillRect/>
                          </a:stretch>
                        </p:blipFill>
                        <p:spPr>
                          <a:xfrm>
                            <a:off x="0" y="0"/>
                            <a:ext cx="133350" cy="76200"/>
                          </a:xfrm>
                          <a:prstGeom prst="rect"/>
                        </p:spPr>
                      </p:pic>
                    </a:graphicData>
                  </a:graphic>
                </wp:inline>
              </w:drawing>
            </w:r>
            <w:hyperlink r:id="r50">
              <w:r>
                <w:rPr>
                  <w:rFonts w:ascii="Times New Roman" w:hAnsi="Times New Roman"/>
                  <w:color w:val="006fc4"/>
                  <w:sz w:val="20"/>
                </w:rPr>
                <w:t>Inception and duration of dispute;  recurrence;  "capable of repetition yet evading review"</w:t>
              </w:r>
            </w:hyperlink>
          </w:p>
        </w:tc>
      </w:tr>
      <w:bookmarkEnd w:id="62"/>
      <w:bookmarkEnd w:id="61"/>
      <w:bookmarkEnd w:id="6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Exception to mootness, for wrongdoing that is capable of repetition yet evading review, is not triggered by future risks to persons other than the plaintiff.</w:t>
            </w:r>
          </w:p>
          <w:bookmarkStart w:id="65" w:name="co_headnoteId_2051884015010202308311423"/>
          <w:p>
            <w:pPr>
              <w:spacing w:before="200" w:after="0" w:line="275" w:lineRule="atLeast"/>
              <w:jc w:val="both"/>
            </w:pPr>
            <w:hyperlink r:id="r51">
              <w:r>
                <w:rPr>
                  <w:rFonts w:ascii="Times New Roman" w:hAnsi="Times New Roman"/>
                  <w:color w:val="006fc4"/>
                  <w:sz w:val="20"/>
                </w:rPr>
                <w:t>2 Cases that cite this headnote</w:t>
              </w:r>
            </w:hyperlink>
          </w:p>
          <w:bookmarkEnd w:id="65"/>
        </w:tc>
      </w:tr>
    </w:tbl>
    <w:p>
      <w:pPr>
        <w:spacing w:before="0" w:after="0" w:line="240" w:lineRule="auto"/>
        <w:rPr>
          <w:sz w:val="20"/>
        </w:rPr>
      </w:pPr>
    </w:p>
    <w:tbl>
      <w:tblPr>
        <w:tblInd w:w="30" w:type="dxa"/>
        <w:tblLayout w:type="fixed"/>
      </w:tblPr>
      <w:tblGrid>
        <w:gridCol w:w="600"/>
        <w:gridCol w:w="9450"/>
      </w:tblGrid>
      <w:bookmarkStart w:id="66" w:name="co_anchor_2051884015011_1"/>
      <w:bookmarkStart w:id="67" w:name="Athens_headnoteCell_F112051884015_1"/>
      <w:bookmarkStart w:id="68" w:name="co_headnotesTable_9_1"/>
      <w:tr>
        <w:tblPrEx/>
        <w:trPr/>
        <w:tc>
          <w:tcPr>
            <w:tcMar>
              <w:left w:w="30" w:type="dxa"/>
              <w:right w:w="30" w:type="dxa"/>
            </w:tcMar>
            <w:vAlign w:val="top"/>
          </w:tcPr>
          <w:p>
            <w:pPr>
              <w:spacing w:before="0" w:after="0" w:line="275" w:lineRule="atLeast"/>
            </w:pPr>
            <w:bookmarkStart w:id="69" w:name="co_anchor_F112051884015_1"/>
            <w:bookmarkStart w:id="70" w:name="co_anchor_headNote_[11]_1"/>
            <w:hyperlink w:anchor="co_pp_HNF11_1">
              <w:r>
                <w:rPr>
                  <w:rFonts w:ascii="Times New Roman" w:hAnsi="Times New Roman"/>
                  <w:b/>
                  <w:color w:val="006fc4"/>
                  <w:sz w:val="20"/>
                  <w:vertAlign w:val="superscript"/>
                </w:rPr>
                <w:t>[11]</w:t>
              </w:r>
            </w:hyperlink>
            <w:bookmarkEnd w:id="70"/>
            <w:bookmarkEnd w:id="69"/>
          </w:p>
        </w:tc>
        <w:tc>
          <w:tcPr>
            <w:tcMar>
              <w:left w:w="30" w:type="dxa"/>
              <w:right w:w="30" w:type="dxa"/>
            </w:tcMar>
            <w:vAlign w:val="top"/>
          </w:tcPr>
          <w:p>
            <w:pPr>
              <w:pBdr>
                <w:bottom w:val="none" w:space="2"/>
              </w:pBdr>
              <w:spacing w:before="0" w:after="0" w:line="275" w:lineRule="atLeast"/>
            </w:pPr>
            <w:hyperlink r:id="r52">
              <w:r>
                <w:rPr>
                  <w:rFonts w:ascii="Times New Roman" w:hAnsi="Times New Roman"/>
                  <w:b/>
                  <w:color w:val="006fc4"/>
                  <w:sz w:val="20"/>
                </w:rPr>
                <w:t>Federal Courts</w:t>
              </w:r>
            </w:hyperlink>
            <w:r>
              <w:rPr>
                <w:rFonts w:ascii="Times New Roman" w:hAnsi="Times New Roman"/>
                <w:color w:val="1f1f1f"/>
                <w:sz w:val="20"/>
              </w:rPr>
              <w:drawing>
                <wp:inline>
                  <wp:extent cx="133350" cy="76200"/>
                  <wp:docPr id="21" name="Picture 1" descr="Display Key Number Topics"/>
                  <a:graphic>
                    <a:graphicData uri="http://schemas.openxmlformats.org/drawingml/2006/picture">
                      <p:pic>
                        <p:nvPicPr>
                          <p:cNvPr id="22" name="Picture 1" descr="Display Key Number Topics"/>
                          <p:cNvPicPr/>
                        </p:nvPicPr>
                        <p:blipFill>
                          <a:blip r:embed="r21"/>
                          <a:srcRect/>
                          <a:stretch>
                            <a:fillRect/>
                          </a:stretch>
                        </p:blipFill>
                        <p:spPr>
                          <a:xfrm>
                            <a:off x="0" y="0"/>
                            <a:ext cx="133350" cy="76200"/>
                          </a:xfrm>
                          <a:prstGeom prst="rect"/>
                        </p:spPr>
                      </p:pic>
                    </a:graphicData>
                  </a:graphic>
                </wp:inline>
              </w:drawing>
            </w:r>
            <w:hyperlink r:id="r53">
              <w:r>
                <w:rPr>
                  <w:rFonts w:ascii="Times New Roman" w:hAnsi="Times New Roman"/>
                  <w:color w:val="006fc4"/>
                  <w:sz w:val="20"/>
                </w:rPr>
                <w:t>Summary judgment</w:t>
              </w:r>
            </w:hyperlink>
          </w:p>
          <w:p>
            <w:pPr>
              <w:pBdr>
                <w:bottom w:val="none" w:space="2"/>
              </w:pBdr>
              <w:spacing w:before="0" w:after="0" w:line="275" w:lineRule="atLeast"/>
            </w:pPr>
            <w:hyperlink r:id="r54">
              <w:r>
                <w:rPr>
                  <w:rFonts w:ascii="Times New Roman" w:hAnsi="Times New Roman"/>
                  <w:b/>
                  <w:color w:val="006fc4"/>
                  <w:sz w:val="20"/>
                </w:rPr>
                <w:t>Federal Courts</w:t>
              </w:r>
            </w:hyperlink>
            <w:r>
              <w:rPr>
                <w:rFonts w:ascii="Times New Roman" w:hAnsi="Times New Roman"/>
                <w:color w:val="1f1f1f"/>
                <w:sz w:val="20"/>
              </w:rPr>
              <w:drawing>
                <wp:inline>
                  <wp:extent cx="133350" cy="76200"/>
                  <wp:docPr id="23" name="Picture 1" descr="Display Key Number Topics"/>
                  <a:graphic>
                    <a:graphicData uri="http://schemas.openxmlformats.org/drawingml/2006/picture">
                      <p:pic>
                        <p:nvPicPr>
                          <p:cNvPr id="24" name="Picture 1" descr="Display Key Number Topics"/>
                          <p:cNvPicPr/>
                        </p:nvPicPr>
                        <p:blipFill>
                          <a:blip r:embed="r21"/>
                          <a:srcRect/>
                          <a:stretch>
                            <a:fillRect/>
                          </a:stretch>
                        </p:blipFill>
                        <p:spPr>
                          <a:xfrm>
                            <a:off x="0" y="0"/>
                            <a:ext cx="133350" cy="76200"/>
                          </a:xfrm>
                          <a:prstGeom prst="rect"/>
                        </p:spPr>
                      </p:pic>
                    </a:graphicData>
                  </a:graphic>
                </wp:inline>
              </w:drawing>
            </w:r>
            <w:hyperlink r:id="r55">
              <w:r>
                <w:rPr>
                  <w:rFonts w:ascii="Times New Roman" w:hAnsi="Times New Roman"/>
                  <w:color w:val="006fc4"/>
                  <w:sz w:val="20"/>
                </w:rPr>
                <w:t>Summary judgment</w:t>
              </w:r>
            </w:hyperlink>
          </w:p>
        </w:tc>
      </w:tr>
      <w:bookmarkEnd w:id="68"/>
      <w:bookmarkEnd w:id="67"/>
      <w:bookmarkEnd w:id="6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Rulings granting summary judgment to defendants are reviewed de novo, drawing all reasonable inferences favorably to the plaintiff. </w:t>
            </w:r>
            <w:hyperlink r:id="r56">
              <w:r>
                <w:rPr>
                  <w:rFonts w:ascii="Times New Roman" w:hAnsi="Times New Roman"/>
                  <w:color w:val="006fc4"/>
                  <w:sz w:val="20"/>
                </w:rPr>
                <w:t>Fed. R. Civ. P. 56</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71" w:name="co_headnoteId_2051884015011202308311423"/>
      <w:bookmarkStart w:id="72" w:name="co_anchor_2051884015012_1"/>
      <w:bookmarkStart w:id="73" w:name="Athens_headnoteCell_F122051884015_1"/>
      <w:bookmarkStart w:id="74" w:name="co_headnotesTable_10_1"/>
      <w:tr>
        <w:tblPrEx/>
        <w:trPr/>
        <w:tc>
          <w:tcPr>
            <w:tcMar>
              <w:left w:w="30" w:type="dxa"/>
              <w:right w:w="30" w:type="dxa"/>
            </w:tcMar>
            <w:vAlign w:val="top"/>
          </w:tcPr>
          <w:p>
            <w:pPr>
              <w:spacing w:before="0" w:after="0" w:line="275" w:lineRule="atLeast"/>
            </w:pPr>
            <w:bookmarkStart w:id="75" w:name="co_anchor_F122051884015_1"/>
            <w:bookmarkStart w:id="76" w:name="co_anchor_headNote_[12]_1"/>
            <w:hyperlink w:anchor="co_pp_HNF12_1">
              <w:r>
                <w:rPr>
                  <w:rFonts w:ascii="Times New Roman" w:hAnsi="Times New Roman"/>
                  <w:b/>
                  <w:color w:val="006fc4"/>
                  <w:sz w:val="20"/>
                  <w:vertAlign w:val="superscript"/>
                </w:rPr>
                <w:t>[12]</w:t>
              </w:r>
            </w:hyperlink>
            <w:bookmarkEnd w:id="76"/>
            <w:bookmarkEnd w:id="75"/>
          </w:p>
        </w:tc>
        <w:tc>
          <w:tcPr>
            <w:tcMar>
              <w:left w:w="30" w:type="dxa"/>
              <w:right w:w="30" w:type="dxa"/>
            </w:tcMar>
            <w:vAlign w:val="top"/>
          </w:tcPr>
          <w:p>
            <w:pPr>
              <w:pBdr>
                <w:bottom w:val="none" w:space="2"/>
              </w:pBdr>
              <w:spacing w:before="0" w:after="0" w:line="275" w:lineRule="atLeast"/>
            </w:pPr>
            <w:hyperlink r:id="r57">
              <w:r>
                <w:rPr>
                  <w:rFonts w:ascii="Times New Roman" w:hAnsi="Times New Roman"/>
                  <w:b/>
                  <w:color w:val="006fc4"/>
                  <w:sz w:val="20"/>
                </w:rPr>
                <w:t>Civil Rights</w:t>
              </w:r>
            </w:hyperlink>
            <w:r>
              <w:rPr>
                <w:rFonts w:ascii="Times New Roman" w:hAnsi="Times New Roman"/>
                <w:color w:val="1f1f1f"/>
                <w:sz w:val="20"/>
              </w:rPr>
              <w:drawing>
                <wp:inline>
                  <wp:extent cx="133350" cy="76200"/>
                  <wp:docPr id="25" name="Picture 1" descr="Display Key Number Topics"/>
                  <a:graphic>
                    <a:graphicData uri="http://schemas.openxmlformats.org/drawingml/2006/picture">
                      <p:pic>
                        <p:nvPicPr>
                          <p:cNvPr id="26" name="Picture 1" descr="Display Key Number Topics"/>
                          <p:cNvPicPr/>
                        </p:nvPicPr>
                        <p:blipFill>
                          <a:blip r:embed="r21"/>
                          <a:srcRect/>
                          <a:stretch>
                            <a:fillRect/>
                          </a:stretch>
                        </p:blipFill>
                        <p:spPr>
                          <a:xfrm>
                            <a:off x="0" y="0"/>
                            <a:ext cx="133350" cy="76200"/>
                          </a:xfrm>
                          <a:prstGeom prst="rect"/>
                        </p:spPr>
                      </p:pic>
                    </a:graphicData>
                  </a:graphic>
                </wp:inline>
              </w:drawing>
            </w:r>
            <w:hyperlink r:id="r58">
              <w:r>
                <w:rPr>
                  <w:rFonts w:ascii="Times New Roman" w:hAnsi="Times New Roman"/>
                  <w:color w:val="006fc4"/>
                  <w:sz w:val="20"/>
                </w:rPr>
                <w:t>Publicly assisted programs</w:t>
              </w:r>
            </w:hyperlink>
          </w:p>
        </w:tc>
      </w:tr>
      <w:bookmarkEnd w:id="74"/>
      <w:bookmarkEnd w:id="73"/>
      <w:bookmarkEnd w:id="72"/>
      <w:bookmarkEnd w:id="7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Rehabilitation Act applies only if the defendant received federal funds. Rehabilitation Act of 1973 § 504(a), </w:t>
            </w:r>
            <w:hyperlink r:id="r59">
              <w:r>
                <w:rPr>
                  <w:rFonts w:ascii="Times New Roman" w:hAnsi="Times New Roman"/>
                  <w:color w:val="006fc4"/>
                  <w:sz w:val="20"/>
                </w:rPr>
                <w:t>29 U.S.C.A. § 794(a)</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77" w:name="co_headnoteId_2051884015012202308311423"/>
      <w:bookmarkStart w:id="78" w:name="co_anchor_2051884015013_1"/>
      <w:bookmarkStart w:id="79" w:name="Athens_headnoteCell_F132051884015_1"/>
      <w:bookmarkStart w:id="80" w:name="co_headnotesTable_11_1"/>
      <w:tr>
        <w:tblPrEx/>
        <w:trPr/>
        <w:tc>
          <w:tcPr>
            <w:tcMar>
              <w:left w:w="30" w:type="dxa"/>
              <w:right w:w="30" w:type="dxa"/>
            </w:tcMar>
            <w:vAlign w:val="top"/>
          </w:tcPr>
          <w:p>
            <w:pPr>
              <w:spacing w:before="0" w:after="0" w:line="275" w:lineRule="atLeast"/>
            </w:pPr>
            <w:bookmarkStart w:id="81" w:name="co_anchor_F132051884015_1"/>
            <w:bookmarkStart w:id="82" w:name="co_anchor_headNote_[13]_1"/>
            <w:hyperlink w:anchor="co_pp_HNF13_1">
              <w:r>
                <w:rPr>
                  <w:rFonts w:ascii="Times New Roman" w:hAnsi="Times New Roman"/>
                  <w:b/>
                  <w:color w:val="006fc4"/>
                  <w:sz w:val="20"/>
                  <w:vertAlign w:val="superscript"/>
                </w:rPr>
                <w:t>[13]</w:t>
              </w:r>
            </w:hyperlink>
            <w:bookmarkEnd w:id="82"/>
            <w:bookmarkEnd w:id="81"/>
          </w:p>
        </w:tc>
        <w:tc>
          <w:tcPr>
            <w:tcMar>
              <w:left w:w="30" w:type="dxa"/>
              <w:right w:w="30" w:type="dxa"/>
            </w:tcMar>
            <w:vAlign w:val="top"/>
          </w:tcPr>
          <w:p>
            <w:pPr>
              <w:pBdr>
                <w:bottom w:val="none" w:space="2"/>
              </w:pBdr>
              <w:spacing w:before="0" w:after="0" w:line="275" w:lineRule="atLeast"/>
            </w:pPr>
            <w:hyperlink r:id="r60">
              <w:r>
                <w:rPr>
                  <w:rFonts w:ascii="Times New Roman" w:hAnsi="Times New Roman"/>
                  <w:b/>
                  <w:color w:val="006fc4"/>
                  <w:sz w:val="20"/>
                </w:rPr>
                <w:t>Civil Rights</w:t>
              </w:r>
            </w:hyperlink>
            <w:r>
              <w:rPr>
                <w:rFonts w:ascii="Times New Roman" w:hAnsi="Times New Roman"/>
                <w:color w:val="1f1f1f"/>
                <w:sz w:val="20"/>
              </w:rPr>
              <w:drawing>
                <wp:inline>
                  <wp:extent cx="133350" cy="76200"/>
                  <wp:docPr id="27" name="Picture 1" descr="Display Key Number Topics"/>
                  <a:graphic>
                    <a:graphicData uri="http://schemas.openxmlformats.org/drawingml/2006/picture">
                      <p:pic>
                        <p:nvPicPr>
                          <p:cNvPr id="28" name="Picture 1" descr="Display Key Number Topics"/>
                          <p:cNvPicPr/>
                        </p:nvPicPr>
                        <p:blipFill>
                          <a:blip r:embed="r21"/>
                          <a:srcRect/>
                          <a:stretch>
                            <a:fillRect/>
                          </a:stretch>
                        </p:blipFill>
                        <p:spPr>
                          <a:xfrm>
                            <a:off x="0" y="0"/>
                            <a:ext cx="133350" cy="76200"/>
                          </a:xfrm>
                          <a:prstGeom prst="rect"/>
                        </p:spPr>
                      </p:pic>
                    </a:graphicData>
                  </a:graphic>
                </wp:inline>
              </w:drawing>
            </w:r>
            <w:hyperlink r:id="r61">
              <w:r>
                <w:rPr>
                  <w:rFonts w:ascii="Times New Roman" w:hAnsi="Times New Roman"/>
                  <w:color w:val="006fc4"/>
                  <w:sz w:val="20"/>
                </w:rPr>
                <w:t>Prisons</w:t>
              </w:r>
            </w:hyperlink>
          </w:p>
        </w:tc>
      </w:tr>
      <w:bookmarkEnd w:id="80"/>
      <w:bookmarkEnd w:id="79"/>
      <w:bookmarkEnd w:id="78"/>
      <w:bookmarkEnd w:id="77"/>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Regardless of whether operator of residential community corrections program received federal funds, the Colorado Department of Corrections (CDOC) and the Colorado Department of Criminal Justice (CDCJ), as recipients of federal funds, were subject to the Rehabilitation Act, in action for damages brought by state prisoner who was returned to prison after program operator deemed her unable to work because she aggravated a previous spinal stenosis disability, for which program the operator was a subcontractor of CDCJ and CDOC under contracts between CDCJ, CDOC, and county. Rehabilitation Act of 1973 § 504(a), </w:t>
            </w:r>
            <w:hyperlink r:id="r62">
              <w:r>
                <w:rPr>
                  <w:rFonts w:ascii="Times New Roman" w:hAnsi="Times New Roman"/>
                  <w:color w:val="006fc4"/>
                  <w:sz w:val="20"/>
                </w:rPr>
                <w:t>29 U.S.C.A. § 794(a)</w:t>
              </w:r>
            </w:hyperlink>
            <w:r>
              <w:rPr>
                <w:rFonts w:ascii="Times New Roman" w:hAnsi="Times New Roman"/>
                <w:color w:val="1f1f1f"/>
                <w:sz w:val="20"/>
              </w:rPr>
              <w:t xml:space="preserve">; </w:t>
            </w:r>
            <w:hyperlink r:id="r63">
              <w:r>
                <w:rPr>
                  <w:rFonts w:ascii="Times New Roman" w:hAnsi="Times New Roman"/>
                  <w:color w:val="006fc4"/>
                  <w:sz w:val="20"/>
                </w:rPr>
                <w:t>Colo. Rev. Stat. Ann. §§ 17-27-101</w:t>
              </w:r>
            </w:hyperlink>
            <w:r>
              <w:rPr>
                <w:rFonts w:ascii="Times New Roman" w:hAnsi="Times New Roman"/>
                <w:color w:val="1f1f1f"/>
                <w:sz w:val="20"/>
              </w:rPr>
              <w:t xml:space="preserve">, </w:t>
            </w:r>
            <w:hyperlink r:id="r64">
              <w:r>
                <w:rPr>
                  <w:rFonts w:ascii="Times New Roman" w:hAnsi="Times New Roman"/>
                  <w:color w:val="006fc4"/>
                  <w:sz w:val="20"/>
                </w:rPr>
                <w:t>17-27-103(1, 4)</w:t>
              </w:r>
            </w:hyperlink>
            <w:r>
              <w:rPr>
                <w:rFonts w:ascii="Times New Roman" w:hAnsi="Times New Roman"/>
                <w:color w:val="1f1f1f"/>
                <w:sz w:val="20"/>
              </w:rPr>
              <w:t xml:space="preserve">, </w:t>
            </w:r>
            <w:hyperlink r:id="r65">
              <w:r>
                <w:rPr>
                  <w:rFonts w:ascii="Times New Roman" w:hAnsi="Times New Roman"/>
                  <w:color w:val="006fc4"/>
                  <w:sz w:val="20"/>
                </w:rPr>
                <w:t>17-27-108(1, 2)</w:t>
              </w:r>
            </w:hyperlink>
            <w:r>
              <w:rPr>
                <w:rFonts w:ascii="Times New Roman" w:hAnsi="Times New Roman"/>
                <w:color w:val="1f1f1f"/>
                <w:sz w:val="20"/>
              </w:rPr>
              <w:t>.</w:t>
            </w:r>
          </w:p>
          <w:bookmarkStart w:id="83" w:name="co_headnoteId_2051884015013202308311423"/>
          <w:p>
            <w:pPr>
              <w:spacing w:before="200" w:after="0" w:line="275" w:lineRule="atLeast"/>
              <w:jc w:val="both"/>
            </w:pPr>
            <w:hyperlink r:id="r66">
              <w:r>
                <w:rPr>
                  <w:rFonts w:ascii="Times New Roman" w:hAnsi="Times New Roman"/>
                  <w:color w:val="006fc4"/>
                  <w:sz w:val="20"/>
                </w:rPr>
                <w:t>2 Cases that cite this headnote</w:t>
              </w:r>
            </w:hyperlink>
          </w:p>
          <w:bookmarkEnd w:id="83"/>
        </w:tc>
      </w:tr>
    </w:tbl>
    <w:p>
      <w:pPr>
        <w:spacing w:before="0" w:after="0" w:line="240" w:lineRule="auto"/>
        <w:rPr>
          <w:sz w:val="20"/>
        </w:rPr>
      </w:pPr>
    </w:p>
    <w:tbl>
      <w:tblPr>
        <w:tblInd w:w="30" w:type="dxa"/>
        <w:tblLayout w:type="fixed"/>
      </w:tblPr>
      <w:tblGrid>
        <w:gridCol w:w="600"/>
        <w:gridCol w:w="9450"/>
      </w:tblGrid>
      <w:bookmarkStart w:id="84" w:name="co_anchor_2051884015014_1"/>
      <w:bookmarkStart w:id="85" w:name="Athens_headnoteCell_F142051884015_1"/>
      <w:bookmarkStart w:id="86" w:name="co_headnotesTable_12_1"/>
      <w:tr>
        <w:tblPrEx/>
        <w:trPr/>
        <w:tc>
          <w:tcPr>
            <w:tcMar>
              <w:left w:w="30" w:type="dxa"/>
              <w:right w:w="30" w:type="dxa"/>
            </w:tcMar>
            <w:vAlign w:val="top"/>
          </w:tcPr>
          <w:p>
            <w:pPr>
              <w:spacing w:before="0" w:after="0" w:line="275" w:lineRule="atLeast"/>
            </w:pPr>
            <w:bookmarkStart w:id="87" w:name="co_anchor_F142051884015_1"/>
            <w:bookmarkStart w:id="88" w:name="co_anchor_headNote_[14]_1"/>
            <w:hyperlink w:anchor="co_pp_HNF14_1">
              <w:r>
                <w:rPr>
                  <w:rFonts w:ascii="Times New Roman" w:hAnsi="Times New Roman"/>
                  <w:b/>
                  <w:color w:val="006fc4"/>
                  <w:sz w:val="20"/>
                  <w:vertAlign w:val="superscript"/>
                </w:rPr>
                <w:t>[14]</w:t>
              </w:r>
            </w:hyperlink>
            <w:bookmarkEnd w:id="88"/>
            <w:bookmarkEnd w:id="87"/>
          </w:p>
        </w:tc>
        <w:tc>
          <w:tcPr>
            <w:tcMar>
              <w:left w:w="30" w:type="dxa"/>
              <w:right w:w="30" w:type="dxa"/>
            </w:tcMar>
            <w:vAlign w:val="top"/>
          </w:tcPr>
          <w:p>
            <w:pPr>
              <w:pBdr>
                <w:bottom w:val="none" w:space="2"/>
              </w:pBdr>
              <w:spacing w:before="0" w:after="0" w:line="275" w:lineRule="atLeast"/>
            </w:pPr>
            <w:hyperlink r:id="r67">
              <w:r>
                <w:rPr>
                  <w:rFonts w:ascii="Times New Roman" w:hAnsi="Times New Roman"/>
                  <w:b/>
                  <w:color w:val="006fc4"/>
                  <w:sz w:val="20"/>
                </w:rPr>
                <w:t>Civil Rights</w:t>
              </w:r>
            </w:hyperlink>
            <w:r>
              <w:rPr>
                <w:rFonts w:ascii="Times New Roman" w:hAnsi="Times New Roman"/>
                <w:color w:val="1f1f1f"/>
                <w:sz w:val="20"/>
              </w:rPr>
              <w:drawing>
                <wp:inline>
                  <wp:extent cx="133350" cy="76200"/>
                  <wp:docPr id="29" name="Picture 1" descr="Display Key Number Topics"/>
                  <a:graphic>
                    <a:graphicData uri="http://schemas.openxmlformats.org/drawingml/2006/picture">
                      <p:pic>
                        <p:nvPicPr>
                          <p:cNvPr id="30" name="Picture 1" descr="Display Key Number Topics"/>
                          <p:cNvPicPr/>
                        </p:nvPicPr>
                        <p:blipFill>
                          <a:blip r:embed="r21"/>
                          <a:srcRect/>
                          <a:stretch>
                            <a:fillRect/>
                          </a:stretch>
                        </p:blipFill>
                        <p:spPr>
                          <a:xfrm>
                            <a:off x="0" y="0"/>
                            <a:ext cx="133350" cy="76200"/>
                          </a:xfrm>
                          <a:prstGeom prst="rect"/>
                        </p:spPr>
                      </p:pic>
                    </a:graphicData>
                  </a:graphic>
                </wp:inline>
              </w:drawing>
            </w:r>
            <w:hyperlink r:id="r68">
              <w:r>
                <w:rPr>
                  <w:rFonts w:ascii="Times New Roman" w:hAnsi="Times New Roman"/>
                  <w:color w:val="006fc4"/>
                  <w:sz w:val="20"/>
                </w:rPr>
                <w:t>Prisons</w:t>
              </w:r>
            </w:hyperlink>
          </w:p>
        </w:tc>
      </w:tr>
      <w:bookmarkEnd w:id="86"/>
      <w:bookmarkEnd w:id="85"/>
      <w:bookmarkEnd w:id="84"/>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Residential community corrections program, for which program operator performed as subcontractor of Colorado Department of Criminal Justice (CDCJ) and Colorado Department of Corrections (CDOC) under contracts between CDCJ, CDOC, and county, could be considered a program of CDCJ and CDOC, and thus, CDCJ and CDOC could incur liability under the Rehabilitation Act and the ADA for disability discrimination against a state prisoner, in action for damages brought by state prisoner who was returned to prison after program operator deemed her unable to work because she aggravated a previous spinal stenosis disability. Rehabilitation Act of 1973 § 504(a), </w:t>
            </w:r>
            <w:hyperlink r:id="r69">
              <w:r>
                <w:rPr>
                  <w:rFonts w:ascii="Times New Roman" w:hAnsi="Times New Roman"/>
                  <w:color w:val="006fc4"/>
                  <w:sz w:val="20"/>
                </w:rPr>
                <w:t>29 U.S.C.A. § 794(a)</w:t>
              </w:r>
            </w:hyperlink>
            <w:r>
              <w:rPr>
                <w:rFonts w:ascii="Times New Roman" w:hAnsi="Times New Roman"/>
                <w:color w:val="1f1f1f"/>
                <w:sz w:val="20"/>
              </w:rPr>
              <w:t xml:space="preserve">; Americans with Disabilities Act of 1990 §§ 202, 302(b)(1)(A), </w:t>
            </w:r>
            <w:hyperlink r:id="r70">
              <w:r>
                <w:rPr>
                  <w:rFonts w:ascii="Times New Roman" w:hAnsi="Times New Roman"/>
                  <w:color w:val="006fc4"/>
                  <w:sz w:val="20"/>
                </w:rPr>
                <w:t>42 U.S.C.A. §§ 12132</w:t>
              </w:r>
            </w:hyperlink>
            <w:r>
              <w:rPr>
                <w:rFonts w:ascii="Times New Roman" w:hAnsi="Times New Roman"/>
                <w:color w:val="1f1f1f"/>
                <w:sz w:val="20"/>
              </w:rPr>
              <w:t xml:space="preserve">, </w:t>
            </w:r>
            <w:hyperlink r:id="r71">
              <w:r>
                <w:rPr>
                  <w:rFonts w:ascii="Times New Roman" w:hAnsi="Times New Roman"/>
                  <w:color w:val="006fc4"/>
                  <w:sz w:val="20"/>
                </w:rPr>
                <w:t>12182(b)(1)(A)</w:t>
              </w:r>
            </w:hyperlink>
            <w:r>
              <w:rPr>
                <w:rFonts w:ascii="Times New Roman" w:hAnsi="Times New Roman"/>
                <w:color w:val="1f1f1f"/>
                <w:sz w:val="20"/>
              </w:rPr>
              <w:t xml:space="preserve">; </w:t>
            </w:r>
            <w:hyperlink r:id="r72">
              <w:r>
                <w:rPr>
                  <w:rFonts w:ascii="Times New Roman" w:hAnsi="Times New Roman"/>
                  <w:color w:val="006fc4"/>
                  <w:sz w:val="20"/>
                </w:rPr>
                <w:t>Colo. Rev. Stat. Ann. §§ 17-27-101</w:t>
              </w:r>
            </w:hyperlink>
            <w:r>
              <w:rPr>
                <w:rFonts w:ascii="Times New Roman" w:hAnsi="Times New Roman"/>
                <w:color w:val="1f1f1f"/>
                <w:sz w:val="20"/>
              </w:rPr>
              <w:t xml:space="preserve">, </w:t>
            </w:r>
            <w:hyperlink r:id="r73">
              <w:r>
                <w:rPr>
                  <w:rFonts w:ascii="Times New Roman" w:hAnsi="Times New Roman"/>
                  <w:color w:val="006fc4"/>
                  <w:sz w:val="20"/>
                </w:rPr>
                <w:t>17-27-103(1, 4)</w:t>
              </w:r>
            </w:hyperlink>
            <w:r>
              <w:rPr>
                <w:rFonts w:ascii="Times New Roman" w:hAnsi="Times New Roman"/>
                <w:color w:val="1f1f1f"/>
                <w:sz w:val="20"/>
              </w:rPr>
              <w:t xml:space="preserve">, </w:t>
            </w:r>
            <w:hyperlink r:id="r74">
              <w:r>
                <w:rPr>
                  <w:rFonts w:ascii="Times New Roman" w:hAnsi="Times New Roman"/>
                  <w:color w:val="006fc4"/>
                  <w:sz w:val="20"/>
                </w:rPr>
                <w:t>17-27-108(1, 2)</w:t>
              </w:r>
            </w:hyperlink>
            <w:r>
              <w:rPr>
                <w:rFonts w:ascii="Times New Roman" w:hAnsi="Times New Roman"/>
                <w:color w:val="1f1f1f"/>
                <w:sz w:val="20"/>
              </w:rPr>
              <w:t xml:space="preserve">; </w:t>
            </w:r>
            <w:hyperlink r:id="r75">
              <w:r>
                <w:rPr>
                  <w:rFonts w:ascii="Times New Roman" w:hAnsi="Times New Roman"/>
                  <w:color w:val="006fc4"/>
                  <w:sz w:val="20"/>
                </w:rPr>
                <w:t>28 C.F.R. §§ 35.130(b)</w:t>
              </w:r>
            </w:hyperlink>
            <w:r>
              <w:rPr>
                <w:rFonts w:ascii="Times New Roman" w:hAnsi="Times New Roman"/>
                <w:color w:val="1f1f1f"/>
                <w:sz w:val="20"/>
              </w:rPr>
              <w:t xml:space="preserve">, </w:t>
            </w:r>
            <w:hyperlink r:id="r76">
              <w:r>
                <w:rPr>
                  <w:rFonts w:ascii="Times New Roman" w:hAnsi="Times New Roman"/>
                  <w:color w:val="006fc4"/>
                  <w:sz w:val="20"/>
                </w:rPr>
                <w:t>42.503(b)</w:t>
              </w:r>
            </w:hyperlink>
            <w:r>
              <w:rPr>
                <w:rFonts w:ascii="Times New Roman" w:hAnsi="Times New Roman"/>
                <w:color w:val="1f1f1f"/>
                <w:sz w:val="20"/>
              </w:rPr>
              <w:t>.</w:t>
            </w:r>
          </w:p>
          <w:bookmarkStart w:id="89" w:name="co_headnoteId_2051884015014202308311423"/>
          <w:p>
            <w:pPr>
              <w:spacing w:before="200" w:after="0" w:line="275" w:lineRule="atLeast"/>
              <w:jc w:val="both"/>
            </w:pPr>
            <w:hyperlink r:id="r77">
              <w:r>
                <w:rPr>
                  <w:rFonts w:ascii="Times New Roman" w:hAnsi="Times New Roman"/>
                  <w:color w:val="006fc4"/>
                  <w:sz w:val="20"/>
                </w:rPr>
                <w:t>3 Cases that cite this headnote</w:t>
              </w:r>
            </w:hyperlink>
          </w:p>
          <w:bookmarkEnd w:id="89"/>
        </w:tc>
      </w:tr>
    </w:tbl>
    <w:p>
      <w:pPr>
        <w:spacing w:before="0" w:after="0" w:line="240" w:lineRule="auto"/>
        <w:rPr>
          <w:sz w:val="20"/>
        </w:rPr>
      </w:pPr>
    </w:p>
    <w:tbl>
      <w:tblPr>
        <w:tblInd w:w="30" w:type="dxa"/>
        <w:tblLayout w:type="fixed"/>
      </w:tblPr>
      <w:tblGrid>
        <w:gridCol w:w="600"/>
        <w:gridCol w:w="9450"/>
      </w:tblGrid>
      <w:bookmarkStart w:id="90" w:name="co_anchor_2051884015015_1"/>
      <w:bookmarkStart w:id="91" w:name="Athens_headnoteCell_F152051884015_1"/>
      <w:bookmarkStart w:id="92" w:name="co_headnotesTable_13_1"/>
      <w:tr>
        <w:tblPrEx/>
        <w:trPr/>
        <w:tc>
          <w:tcPr>
            <w:tcMar>
              <w:left w:w="30" w:type="dxa"/>
              <w:right w:w="30" w:type="dxa"/>
            </w:tcMar>
            <w:vAlign w:val="top"/>
          </w:tcPr>
          <w:p>
            <w:pPr>
              <w:spacing w:before="0" w:after="0" w:line="275" w:lineRule="atLeast"/>
            </w:pPr>
            <w:bookmarkStart w:id="93" w:name="co_anchor_F152051884015_1"/>
            <w:bookmarkStart w:id="94" w:name="co_anchor_headNote_[15]_1"/>
            <w:hyperlink w:anchor="co_pp_HNF15_1">
              <w:r>
                <w:rPr>
                  <w:rFonts w:ascii="Times New Roman" w:hAnsi="Times New Roman"/>
                  <w:b/>
                  <w:color w:val="006fc4"/>
                  <w:sz w:val="20"/>
                  <w:vertAlign w:val="superscript"/>
                </w:rPr>
                <w:t>[15]</w:t>
              </w:r>
            </w:hyperlink>
            <w:bookmarkEnd w:id="94"/>
            <w:bookmarkEnd w:id="93"/>
          </w:p>
        </w:tc>
        <w:tc>
          <w:tcPr>
            <w:tcMar>
              <w:left w:w="30" w:type="dxa"/>
              <w:right w:w="30" w:type="dxa"/>
            </w:tcMar>
            <w:vAlign w:val="top"/>
          </w:tcPr>
          <w:p>
            <w:pPr>
              <w:pBdr>
                <w:bottom w:val="none" w:space="2"/>
              </w:pBdr>
              <w:spacing w:before="0" w:after="0" w:line="275" w:lineRule="atLeast"/>
            </w:pPr>
            <w:hyperlink r:id="r78">
              <w:r>
                <w:rPr>
                  <w:rFonts w:ascii="Times New Roman" w:hAnsi="Times New Roman"/>
                  <w:b/>
                  <w:color w:val="006fc4"/>
                  <w:sz w:val="20"/>
                </w:rPr>
                <w:t>Civil Rights</w:t>
              </w:r>
            </w:hyperlink>
            <w:r>
              <w:rPr>
                <w:rFonts w:ascii="Times New Roman" w:hAnsi="Times New Roman"/>
                <w:color w:val="1f1f1f"/>
                <w:sz w:val="20"/>
              </w:rPr>
              <w:drawing>
                <wp:inline>
                  <wp:extent cx="133350" cy="76200"/>
                  <wp:docPr id="31" name="Picture 1" descr="Display Key Number Topics"/>
                  <a:graphic>
                    <a:graphicData uri="http://schemas.openxmlformats.org/drawingml/2006/picture">
                      <p:pic>
                        <p:nvPicPr>
                          <p:cNvPr id="32" name="Picture 1" descr="Display Key Number Topics"/>
                          <p:cNvPicPr/>
                        </p:nvPicPr>
                        <p:blipFill>
                          <a:blip r:embed="r21"/>
                          <a:srcRect/>
                          <a:stretch>
                            <a:fillRect/>
                          </a:stretch>
                        </p:blipFill>
                        <p:spPr>
                          <a:xfrm>
                            <a:off x="0" y="0"/>
                            <a:ext cx="133350" cy="76200"/>
                          </a:xfrm>
                          <a:prstGeom prst="rect"/>
                        </p:spPr>
                      </p:pic>
                    </a:graphicData>
                  </a:graphic>
                </wp:inline>
              </w:drawing>
            </w:r>
            <w:hyperlink r:id="r79">
              <w:r>
                <w:rPr>
                  <w:rFonts w:ascii="Times New Roman" w:hAnsi="Times New Roman"/>
                  <w:color w:val="006fc4"/>
                  <w:sz w:val="20"/>
                </w:rPr>
                <w:t>Prisons</w:t>
              </w:r>
            </w:hyperlink>
          </w:p>
        </w:tc>
      </w:tr>
      <w:bookmarkEnd w:id="92"/>
      <w:bookmarkEnd w:id="91"/>
      <w:bookmarkEnd w:id="9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The ADA and the Rehabilitation Act extend to disability discrimination against state prison inmates. Rehabilitation Act of 1973 § 504(a), </w:t>
            </w:r>
            <w:hyperlink r:id="r80">
              <w:r>
                <w:rPr>
                  <w:rFonts w:ascii="Times New Roman" w:hAnsi="Times New Roman"/>
                  <w:color w:val="006fc4"/>
                  <w:sz w:val="20"/>
                </w:rPr>
                <w:t>29 U.S.C.A. § 794(a)</w:t>
              </w:r>
            </w:hyperlink>
            <w:r>
              <w:rPr>
                <w:rFonts w:ascii="Times New Roman" w:hAnsi="Times New Roman"/>
                <w:color w:val="1f1f1f"/>
                <w:sz w:val="20"/>
              </w:rPr>
              <w:t xml:space="preserve">; Americans with Disabilities Act of 1990 § 202, </w:t>
            </w:r>
            <w:hyperlink r:id="r81">
              <w:r>
                <w:rPr>
                  <w:rFonts w:ascii="Times New Roman" w:hAnsi="Times New Roman"/>
                  <w:color w:val="006fc4"/>
                  <w:sz w:val="20"/>
                </w:rPr>
                <w:t>42 U.S.C.A. § 12132</w:t>
              </w:r>
            </w:hyperlink>
            <w:r>
              <w:rPr>
                <w:rFonts w:ascii="Times New Roman" w:hAnsi="Times New Roman"/>
                <w:color w:val="1f1f1f"/>
                <w:sz w:val="20"/>
              </w:rPr>
              <w:t>.</w:t>
            </w:r>
          </w:p>
        </w:tc>
      </w:tr>
    </w:tbl>
    <w:p>
      <w:pPr>
        <w:spacing w:before="0" w:after="0" w:line="240" w:lineRule="auto"/>
        <w:rPr>
          <w:sz w:val="20"/>
        </w:rPr>
      </w:pPr>
    </w:p>
    <w:tbl>
      <w:tblPr>
        <w:tblInd w:w="30" w:type="dxa"/>
        <w:tblLayout w:type="fixed"/>
      </w:tblPr>
      <w:tblGrid>
        <w:gridCol w:w="600"/>
        <w:gridCol w:w="9450"/>
      </w:tblGrid>
      <w:bookmarkStart w:id="95" w:name="co_headnoteId_2051884015015202308311423"/>
      <w:bookmarkStart w:id="96" w:name="co_anchor_2051884015016_1"/>
      <w:bookmarkStart w:id="97" w:name="Athens_headnoteCell_F162051884015_1"/>
      <w:bookmarkStart w:id="98" w:name="co_headnotesTable_14_1"/>
      <w:tr>
        <w:tblPrEx/>
        <w:trPr/>
        <w:tc>
          <w:tcPr>
            <w:tcMar>
              <w:left w:w="30" w:type="dxa"/>
              <w:right w:w="30" w:type="dxa"/>
            </w:tcMar>
            <w:vAlign w:val="top"/>
          </w:tcPr>
          <w:p>
            <w:pPr>
              <w:spacing w:before="0" w:after="0" w:line="275" w:lineRule="atLeast"/>
            </w:pPr>
            <w:bookmarkStart w:id="99" w:name="co_anchor_F162051884015_1"/>
            <w:bookmarkStart w:id="100" w:name="co_anchor_headNote_[16]_1"/>
            <w:hyperlink w:anchor="co_pp_HNF16_1">
              <w:r>
                <w:rPr>
                  <w:rFonts w:ascii="Times New Roman" w:hAnsi="Times New Roman"/>
                  <w:b/>
                  <w:color w:val="006fc4"/>
                  <w:sz w:val="20"/>
                  <w:vertAlign w:val="superscript"/>
                </w:rPr>
                <w:t>[16]</w:t>
              </w:r>
            </w:hyperlink>
            <w:bookmarkEnd w:id="100"/>
            <w:bookmarkEnd w:id="99"/>
          </w:p>
        </w:tc>
        <w:tc>
          <w:tcPr>
            <w:tcMar>
              <w:left w:w="30" w:type="dxa"/>
              <w:right w:w="30" w:type="dxa"/>
            </w:tcMar>
            <w:vAlign w:val="top"/>
          </w:tcPr>
          <w:p>
            <w:pPr>
              <w:pBdr>
                <w:bottom w:val="none" w:space="2"/>
              </w:pBdr>
              <w:spacing w:before="0" w:after="0" w:line="275" w:lineRule="atLeast"/>
            </w:pPr>
            <w:hyperlink r:id="r82">
              <w:r>
                <w:rPr>
                  <w:rFonts w:ascii="Times New Roman" w:hAnsi="Times New Roman"/>
                  <w:b/>
                  <w:color w:val="006fc4"/>
                  <w:sz w:val="20"/>
                </w:rPr>
                <w:t>Civil Rights</w:t>
              </w:r>
            </w:hyperlink>
            <w:r>
              <w:rPr>
                <w:rFonts w:ascii="Times New Roman" w:hAnsi="Times New Roman"/>
                <w:color w:val="1f1f1f"/>
                <w:sz w:val="20"/>
              </w:rPr>
              <w:drawing>
                <wp:inline>
                  <wp:extent cx="133350" cy="76200"/>
                  <wp:docPr id="33" name="Picture 1" descr="Display Key Number Topics"/>
                  <a:graphic>
                    <a:graphicData uri="http://schemas.openxmlformats.org/drawingml/2006/picture">
                      <p:pic>
                        <p:nvPicPr>
                          <p:cNvPr id="34" name="Picture 1" descr="Display Key Number Topics"/>
                          <p:cNvPicPr/>
                        </p:nvPicPr>
                        <p:blipFill>
                          <a:blip r:embed="r21"/>
                          <a:srcRect/>
                          <a:stretch>
                            <a:fillRect/>
                          </a:stretch>
                        </p:blipFill>
                        <p:spPr>
                          <a:xfrm>
                            <a:off x="0" y="0"/>
                            <a:ext cx="133350" cy="76200"/>
                          </a:xfrm>
                          <a:prstGeom prst="rect"/>
                        </p:spPr>
                      </p:pic>
                    </a:graphicData>
                  </a:graphic>
                </wp:inline>
              </w:drawing>
            </w:r>
            <w:hyperlink r:id="r83">
              <w:r>
                <w:rPr>
                  <w:rFonts w:ascii="Times New Roman" w:hAnsi="Times New Roman"/>
                  <w:color w:val="006fc4"/>
                  <w:sz w:val="20"/>
                </w:rPr>
                <w:t>Administrative agencies and proceedings</w:t>
              </w:r>
            </w:hyperlink>
          </w:p>
        </w:tc>
      </w:tr>
      <w:bookmarkEnd w:id="98"/>
      <w:bookmarkEnd w:id="97"/>
      <w:bookmarkEnd w:id="96"/>
      <w:bookmarkEnd w:id="95"/>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Regulations implementing the ADA and the Rehabilitation Act carry the force of law. Rehabilitation Act of 1973 § 504, </w:t>
            </w:r>
            <w:hyperlink r:id="r84">
              <w:r>
                <w:rPr>
                  <w:rFonts w:ascii="Times New Roman" w:hAnsi="Times New Roman"/>
                  <w:color w:val="006fc4"/>
                  <w:sz w:val="20"/>
                </w:rPr>
                <w:t>29 U.S.C.A. § 794</w:t>
              </w:r>
            </w:hyperlink>
            <w:r>
              <w:rPr>
                <w:rFonts w:ascii="Times New Roman" w:hAnsi="Times New Roman"/>
                <w:color w:val="1f1f1f"/>
                <w:sz w:val="20"/>
              </w:rPr>
              <w:t xml:space="preserve">; Americans with Disabilities Act of 1990, § 2 et seq., </w:t>
            </w:r>
            <w:hyperlink r:id="r85">
              <w:r>
                <w:rPr>
                  <w:rFonts w:ascii="Times New Roman" w:hAnsi="Times New Roman"/>
                  <w:color w:val="006fc4"/>
                  <w:sz w:val="20"/>
                </w:rPr>
                <w:t>42 U.S.C.A. § 12101 et seq.</w:t>
              </w:r>
            </w:hyperlink>
          </w:p>
        </w:tc>
      </w:tr>
    </w:tbl>
    <w:p>
      <w:pPr>
        <w:spacing w:before="0" w:after="0" w:line="240" w:lineRule="auto"/>
        <w:rPr>
          <w:sz w:val="20"/>
        </w:rPr>
      </w:pPr>
    </w:p>
    <w:tbl>
      <w:tblPr>
        <w:tblInd w:w="30" w:type="dxa"/>
        <w:tblLayout w:type="fixed"/>
      </w:tblPr>
      <w:tblGrid>
        <w:gridCol w:w="600"/>
        <w:gridCol w:w="9450"/>
      </w:tblGrid>
      <w:bookmarkStart w:id="101" w:name="co_headnoteId_2051884015016202308311423"/>
      <w:bookmarkStart w:id="102" w:name="co_anchor_2051884015017_1"/>
      <w:bookmarkStart w:id="103" w:name="Athens_headnoteCell_F172051884015_1"/>
      <w:bookmarkStart w:id="104" w:name="co_headnotesTable_15_1"/>
      <w:tr>
        <w:tblPrEx/>
        <w:trPr/>
        <w:tc>
          <w:tcPr>
            <w:tcMar>
              <w:left w:w="30" w:type="dxa"/>
              <w:right w:w="30" w:type="dxa"/>
            </w:tcMar>
            <w:vAlign w:val="top"/>
          </w:tcPr>
          <w:p>
            <w:pPr>
              <w:spacing w:before="0" w:after="0" w:line="275" w:lineRule="atLeast"/>
            </w:pPr>
            <w:bookmarkStart w:id="105" w:name="co_anchor_F172051884015_1"/>
            <w:bookmarkStart w:id="106" w:name="co_anchor_headNote_[17]_1"/>
            <w:hyperlink w:anchor="co_pp_HNF17_1">
              <w:r>
                <w:rPr>
                  <w:rFonts w:ascii="Times New Roman" w:hAnsi="Times New Roman"/>
                  <w:b/>
                  <w:color w:val="006fc4"/>
                  <w:sz w:val="20"/>
                  <w:vertAlign w:val="superscript"/>
                </w:rPr>
                <w:t>[17]</w:t>
              </w:r>
            </w:hyperlink>
            <w:bookmarkEnd w:id="106"/>
            <w:bookmarkEnd w:id="105"/>
          </w:p>
        </w:tc>
        <w:tc>
          <w:tcPr>
            <w:tcMar>
              <w:left w:w="30" w:type="dxa"/>
              <w:right w:w="30" w:type="dxa"/>
            </w:tcMar>
            <w:vAlign w:val="top"/>
          </w:tcPr>
          <w:p>
            <w:pPr>
              <w:pBdr>
                <w:bottom w:val="none" w:space="2"/>
              </w:pBdr>
              <w:spacing w:before="0" w:after="0" w:line="275" w:lineRule="atLeast"/>
            </w:pPr>
            <w:hyperlink r:id="r86">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35" name="Picture 1" descr="Display Key Number Topics"/>
                  <a:graphic>
                    <a:graphicData uri="http://schemas.openxmlformats.org/drawingml/2006/picture">
                      <p:pic>
                        <p:nvPicPr>
                          <p:cNvPr id="36" name="Picture 1" descr="Display Key Number Topics"/>
                          <p:cNvPicPr/>
                        </p:nvPicPr>
                        <p:blipFill>
                          <a:blip r:embed="r21"/>
                          <a:srcRect/>
                          <a:stretch>
                            <a:fillRect/>
                          </a:stretch>
                        </p:blipFill>
                        <p:spPr>
                          <a:xfrm>
                            <a:off x="0" y="0"/>
                            <a:ext cx="133350" cy="76200"/>
                          </a:xfrm>
                          <a:prstGeom prst="rect"/>
                        </p:spPr>
                      </p:pic>
                    </a:graphicData>
                  </a:graphic>
                </wp:inline>
              </w:drawing>
            </w:r>
            <w:hyperlink r:id="r87">
              <w:r>
                <w:rPr>
                  <w:rFonts w:ascii="Times New Roman" w:hAnsi="Times New Roman"/>
                  <w:color w:val="006fc4"/>
                  <w:sz w:val="20"/>
                </w:rPr>
                <w:t>Disability and Disease, Physical or Mental</w:t>
              </w:r>
            </w:hyperlink>
          </w:p>
        </w:tc>
      </w:tr>
      <w:bookmarkEnd w:id="104"/>
      <w:bookmarkEnd w:id="103"/>
      <w:bookmarkEnd w:id="102"/>
      <w:bookmarkEnd w:id="101"/>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Claims of disability discrimination trigger rational-basis review for an equal protection violation. </w:t>
            </w:r>
            <w:hyperlink r:id="r88">
              <w:r>
                <w:rPr>
                  <w:rFonts w:ascii="Times New Roman" w:hAnsi="Times New Roman"/>
                  <w:color w:val="006fc4"/>
                  <w:sz w:val="20"/>
                </w:rPr>
                <w:t>U.S. Const. Amend. 14</w:t>
              </w:r>
            </w:hyperlink>
            <w:r>
              <w:rPr>
                <w:rFonts w:ascii="Times New Roman" w:hAnsi="Times New Roman"/>
                <w:color w:val="1f1f1f"/>
                <w:sz w:val="20"/>
              </w:rPr>
              <w:t>.</w:t>
            </w:r>
          </w:p>
          <w:bookmarkStart w:id="107" w:name="co_headnoteId_2051884015017202308311423"/>
          <w:p>
            <w:pPr>
              <w:spacing w:before="200" w:after="0" w:line="275" w:lineRule="atLeast"/>
              <w:jc w:val="both"/>
            </w:pPr>
            <w:hyperlink r:id="r89">
              <w:r>
                <w:rPr>
                  <w:rFonts w:ascii="Times New Roman" w:hAnsi="Times New Roman"/>
                  <w:color w:val="006fc4"/>
                  <w:sz w:val="20"/>
                </w:rPr>
                <w:t>1 Case that cites this headnote</w:t>
              </w:r>
            </w:hyperlink>
          </w:p>
          <w:bookmarkEnd w:id="107"/>
        </w:tc>
      </w:tr>
    </w:tbl>
    <w:p>
      <w:pPr>
        <w:spacing w:before="0" w:after="0" w:line="240" w:lineRule="auto"/>
        <w:rPr>
          <w:sz w:val="20"/>
        </w:rPr>
      </w:pPr>
    </w:p>
    <w:tbl>
      <w:tblPr>
        <w:tblInd w:w="30" w:type="dxa"/>
        <w:tblLayout w:type="fixed"/>
      </w:tblPr>
      <w:tblGrid>
        <w:gridCol w:w="600"/>
        <w:gridCol w:w="9450"/>
      </w:tblGrid>
      <w:bookmarkStart w:id="108" w:name="co_anchor_2051884015018_1"/>
      <w:bookmarkStart w:id="109" w:name="Athens_headnoteCell_F182051884015_1"/>
      <w:bookmarkStart w:id="110" w:name="co_headnotesTable_16_1"/>
      <w:tr>
        <w:tblPrEx/>
        <w:trPr/>
        <w:tc>
          <w:tcPr>
            <w:tcMar>
              <w:left w:w="30" w:type="dxa"/>
              <w:right w:w="30" w:type="dxa"/>
            </w:tcMar>
            <w:vAlign w:val="top"/>
          </w:tcPr>
          <w:p>
            <w:pPr>
              <w:spacing w:before="0" w:after="0" w:line="275" w:lineRule="atLeast"/>
            </w:pPr>
            <w:bookmarkStart w:id="111" w:name="co_anchor_F182051884015_1"/>
            <w:bookmarkStart w:id="112" w:name="co_anchor_headNote_[18]_1"/>
            <w:hyperlink w:anchor="co_pp_HNF18_1">
              <w:r>
                <w:rPr>
                  <w:rFonts w:ascii="Times New Roman" w:hAnsi="Times New Roman"/>
                  <w:b/>
                  <w:color w:val="006fc4"/>
                  <w:sz w:val="20"/>
                  <w:vertAlign w:val="superscript"/>
                </w:rPr>
                <w:t>[18]</w:t>
              </w:r>
            </w:hyperlink>
            <w:bookmarkEnd w:id="112"/>
            <w:bookmarkEnd w:id="111"/>
          </w:p>
        </w:tc>
        <w:tc>
          <w:tcPr>
            <w:tcMar>
              <w:left w:w="30" w:type="dxa"/>
              <w:right w:w="30" w:type="dxa"/>
            </w:tcMar>
            <w:vAlign w:val="top"/>
          </w:tcPr>
          <w:p>
            <w:pPr>
              <w:pBdr>
                <w:bottom w:val="none" w:space="2"/>
              </w:pBdr>
              <w:spacing w:before="0" w:after="0" w:line="275" w:lineRule="atLeast"/>
            </w:pPr>
            <w:hyperlink r:id="r90">
              <w:r>
                <w:rPr>
                  <w:rFonts w:ascii="Times New Roman" w:hAnsi="Times New Roman"/>
                  <w:b/>
                  <w:color w:val="006fc4"/>
                  <w:sz w:val="20"/>
                </w:rPr>
                <w:t>Courts</w:t>
              </w:r>
            </w:hyperlink>
            <w:r>
              <w:rPr>
                <w:rFonts w:ascii="Times New Roman" w:hAnsi="Times New Roman"/>
                <w:color w:val="1f1f1f"/>
                <w:sz w:val="20"/>
              </w:rPr>
              <w:drawing>
                <wp:inline>
                  <wp:extent cx="133350" cy="76200"/>
                  <wp:docPr id="37" name="Picture 1" descr="Display Key Number Topics"/>
                  <a:graphic>
                    <a:graphicData uri="http://schemas.openxmlformats.org/drawingml/2006/picture">
                      <p:pic>
                        <p:nvPicPr>
                          <p:cNvPr id="38" name="Picture 1" descr="Display Key Number Topics"/>
                          <p:cNvPicPr/>
                        </p:nvPicPr>
                        <p:blipFill>
                          <a:blip r:embed="r21"/>
                          <a:srcRect/>
                          <a:stretch>
                            <a:fillRect/>
                          </a:stretch>
                        </p:blipFill>
                        <p:spPr>
                          <a:xfrm>
                            <a:off x="0" y="0"/>
                            <a:ext cx="133350" cy="76200"/>
                          </a:xfrm>
                          <a:prstGeom prst="rect"/>
                        </p:spPr>
                      </p:pic>
                    </a:graphicData>
                  </a:graphic>
                </wp:inline>
              </w:drawing>
            </w:r>
            <w:hyperlink r:id="r91">
              <w:r>
                <w:rPr>
                  <w:rFonts w:ascii="Times New Roman" w:hAnsi="Times New Roman"/>
                  <w:color w:val="006fc4"/>
                  <w:sz w:val="20"/>
                </w:rPr>
                <w:t>Supreme Court decisions</w:t>
              </w:r>
            </w:hyperlink>
          </w:p>
        </w:tc>
      </w:tr>
      <w:bookmarkEnd w:id="110"/>
      <w:bookmarkEnd w:id="109"/>
      <w:bookmarkEnd w:id="10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A federal court of appeals cannot buck Supreme Court precedent.</w:t>
            </w:r>
          </w:p>
        </w:tc>
      </w:tr>
    </w:tbl>
    <w:p>
      <w:pPr>
        <w:spacing w:before="0" w:after="0" w:line="240" w:lineRule="auto"/>
        <w:rPr>
          <w:sz w:val="20"/>
        </w:rPr>
      </w:pPr>
    </w:p>
    <w:tbl>
      <w:tblPr>
        <w:tblInd w:w="30" w:type="dxa"/>
        <w:tblLayout w:type="fixed"/>
      </w:tblPr>
      <w:tblGrid>
        <w:gridCol w:w="600"/>
        <w:gridCol w:w="9450"/>
      </w:tblGrid>
      <w:bookmarkStart w:id="113" w:name="co_headnoteId_2051884015018202308311423"/>
      <w:bookmarkStart w:id="114" w:name="co_anchor_2051884015019_1"/>
      <w:bookmarkStart w:id="115" w:name="Athens_headnoteCell_F192051884015_1"/>
      <w:bookmarkStart w:id="116" w:name="co_headnotesTable_17_1"/>
      <w:tr>
        <w:tblPrEx/>
        <w:trPr/>
        <w:tc>
          <w:tcPr>
            <w:tcMar>
              <w:left w:w="30" w:type="dxa"/>
              <w:right w:w="30" w:type="dxa"/>
            </w:tcMar>
            <w:vAlign w:val="top"/>
          </w:tcPr>
          <w:p>
            <w:pPr>
              <w:spacing w:before="0" w:after="0" w:line="275" w:lineRule="atLeast"/>
            </w:pPr>
            <w:bookmarkStart w:id="117" w:name="co_anchor_F192051884015_1"/>
            <w:bookmarkStart w:id="118" w:name="co_anchor_headNote_[19]_1"/>
            <w:hyperlink w:anchor="co_pp_HNF19_1">
              <w:r>
                <w:rPr>
                  <w:rFonts w:ascii="Times New Roman" w:hAnsi="Times New Roman"/>
                  <w:b/>
                  <w:color w:val="006fc4"/>
                  <w:sz w:val="20"/>
                  <w:vertAlign w:val="superscript"/>
                </w:rPr>
                <w:t>[19]</w:t>
              </w:r>
            </w:hyperlink>
            <w:bookmarkEnd w:id="118"/>
            <w:bookmarkEnd w:id="117"/>
          </w:p>
        </w:tc>
        <w:tc>
          <w:tcPr>
            <w:tcMar>
              <w:left w:w="30" w:type="dxa"/>
              <w:right w:w="30" w:type="dxa"/>
            </w:tcMar>
            <w:vAlign w:val="top"/>
          </w:tcPr>
          <w:p>
            <w:pPr>
              <w:pBdr>
                <w:bottom w:val="none" w:space="2"/>
              </w:pBdr>
              <w:spacing w:before="0" w:after="0" w:line="275" w:lineRule="atLeast"/>
            </w:pPr>
            <w:hyperlink r:id="r92">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39" name="Picture 1" descr="Display Key Number Topics"/>
                  <a:graphic>
                    <a:graphicData uri="http://schemas.openxmlformats.org/drawingml/2006/picture">
                      <p:pic>
                        <p:nvPicPr>
                          <p:cNvPr id="40" name="Picture 1" descr="Display Key Number Topics"/>
                          <p:cNvPicPr/>
                        </p:nvPicPr>
                        <p:blipFill>
                          <a:blip r:embed="r21"/>
                          <a:srcRect/>
                          <a:stretch>
                            <a:fillRect/>
                          </a:stretch>
                        </p:blipFill>
                        <p:spPr>
                          <a:xfrm>
                            <a:off x="0" y="0"/>
                            <a:ext cx="133350" cy="76200"/>
                          </a:xfrm>
                          <a:prstGeom prst="rect"/>
                        </p:spPr>
                      </p:pic>
                    </a:graphicData>
                  </a:graphic>
                </wp:inline>
              </w:drawing>
            </w:r>
            <w:hyperlink r:id="r93">
              <w:r>
                <w:rPr>
                  <w:rFonts w:ascii="Times New Roman" w:hAnsi="Times New Roman"/>
                  <w:color w:val="006fc4"/>
                  <w:sz w:val="20"/>
                </w:rPr>
                <w:t>Equal protection</w:t>
              </w:r>
            </w:hyperlink>
          </w:p>
          <w:p>
            <w:pPr>
              <w:pBdr>
                <w:bottom w:val="none" w:space="2"/>
              </w:pBdr>
              <w:spacing w:before="0" w:after="0" w:line="275" w:lineRule="atLeast"/>
            </w:pPr>
            <w:hyperlink r:id="r9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41" name="Picture 1" descr="Display Key Number Topics"/>
                  <a:graphic>
                    <a:graphicData uri="http://schemas.openxmlformats.org/drawingml/2006/picture">
                      <p:pic>
                        <p:nvPicPr>
                          <p:cNvPr id="42" name="Picture 1" descr="Display Key Number Topics"/>
                          <p:cNvPicPr/>
                        </p:nvPicPr>
                        <p:blipFill>
                          <a:blip r:embed="r21"/>
                          <a:srcRect/>
                          <a:stretch>
                            <a:fillRect/>
                          </a:stretch>
                        </p:blipFill>
                        <p:spPr>
                          <a:xfrm>
                            <a:off x="0" y="0"/>
                            <a:ext cx="133350" cy="76200"/>
                          </a:xfrm>
                          <a:prstGeom prst="rect"/>
                        </p:spPr>
                      </p:pic>
                    </a:graphicData>
                  </a:graphic>
                </wp:inline>
              </w:drawing>
            </w:r>
            <w:hyperlink r:id="r95">
              <w:r>
                <w:rPr>
                  <w:rFonts w:ascii="Times New Roman" w:hAnsi="Times New Roman"/>
                  <w:color w:val="006fc4"/>
                  <w:sz w:val="20"/>
                </w:rPr>
                <w:t>Rational Basis Standard;  Reasonableness</w:t>
              </w:r>
            </w:hyperlink>
          </w:p>
        </w:tc>
      </w:tr>
      <w:bookmarkEnd w:id="116"/>
      <w:bookmarkEnd w:id="115"/>
      <w:bookmarkEnd w:id="114"/>
      <w:bookmarkEnd w:id="113"/>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rational-basis review for an equal protection violation, a governmental decision is presumed valid, and the presumption requires a court to defer to the decisionmaker's choice whenever it can imagine any reasonably conceivable state of facts that could provide a rational basis for the classification. </w:t>
            </w:r>
            <w:hyperlink r:id="r96">
              <w:r>
                <w:rPr>
                  <w:rFonts w:ascii="Times New Roman" w:hAnsi="Times New Roman"/>
                  <w:color w:val="006fc4"/>
                  <w:sz w:val="20"/>
                </w:rPr>
                <w:t>U.S. Const. Amend. 14</w:t>
              </w:r>
            </w:hyperlink>
            <w:r>
              <w:rPr>
                <w:rFonts w:ascii="Times New Roman" w:hAnsi="Times New Roman"/>
                <w:color w:val="1f1f1f"/>
                <w:sz w:val="20"/>
              </w:rPr>
              <w:t>.</w:t>
            </w:r>
          </w:p>
          <w:bookmarkStart w:id="119" w:name="co_headnoteId_2051884015019202308311423"/>
          <w:p>
            <w:pPr>
              <w:spacing w:before="200" w:after="0" w:line="275" w:lineRule="atLeast"/>
              <w:jc w:val="both"/>
            </w:pPr>
            <w:hyperlink r:id="r97">
              <w:r>
                <w:rPr>
                  <w:rFonts w:ascii="Times New Roman" w:hAnsi="Times New Roman"/>
                  <w:color w:val="006fc4"/>
                  <w:sz w:val="20"/>
                </w:rPr>
                <w:t>1 Case that cites this headnote</w:t>
              </w:r>
            </w:hyperlink>
          </w:p>
          <w:bookmarkEnd w:id="119"/>
        </w:tc>
      </w:tr>
    </w:tbl>
    <w:p>
      <w:pPr>
        <w:spacing w:before="0" w:after="0" w:line="240" w:lineRule="auto"/>
        <w:rPr>
          <w:sz w:val="20"/>
        </w:rPr>
      </w:pPr>
    </w:p>
    <w:tbl>
      <w:tblPr>
        <w:tblInd w:w="30" w:type="dxa"/>
        <w:tblLayout w:type="fixed"/>
      </w:tblPr>
      <w:tblGrid>
        <w:gridCol w:w="600"/>
        <w:gridCol w:w="9450"/>
      </w:tblGrid>
      <w:bookmarkStart w:id="120" w:name="co_anchor_2051884015020_1"/>
      <w:bookmarkStart w:id="121" w:name="Athens_headnoteCell_F202051884015_1"/>
      <w:bookmarkStart w:id="122" w:name="co_headnotesTable_18_1"/>
      <w:tr>
        <w:tblPrEx/>
        <w:trPr/>
        <w:tc>
          <w:tcPr>
            <w:tcMar>
              <w:left w:w="30" w:type="dxa"/>
              <w:right w:w="30" w:type="dxa"/>
            </w:tcMar>
            <w:vAlign w:val="top"/>
          </w:tcPr>
          <w:p>
            <w:pPr>
              <w:spacing w:before="0" w:after="0" w:line="275" w:lineRule="atLeast"/>
            </w:pPr>
            <w:bookmarkStart w:id="123" w:name="co_anchor_F202051884015_1"/>
            <w:bookmarkStart w:id="124" w:name="co_anchor_headNote_[20]_1"/>
            <w:hyperlink w:anchor="co_pp_HNF20_1">
              <w:r>
                <w:rPr>
                  <w:rFonts w:ascii="Times New Roman" w:hAnsi="Times New Roman"/>
                  <w:b/>
                  <w:color w:val="006fc4"/>
                  <w:sz w:val="20"/>
                  <w:vertAlign w:val="superscript"/>
                </w:rPr>
                <w:t>[20]</w:t>
              </w:r>
            </w:hyperlink>
            <w:bookmarkEnd w:id="124"/>
            <w:bookmarkEnd w:id="123"/>
          </w:p>
        </w:tc>
        <w:tc>
          <w:tcPr>
            <w:tcMar>
              <w:left w:w="30" w:type="dxa"/>
              <w:right w:w="30" w:type="dxa"/>
            </w:tcMar>
            <w:vAlign w:val="top"/>
          </w:tcPr>
          <w:p>
            <w:pPr>
              <w:pBdr>
                <w:bottom w:val="none" w:space="2"/>
              </w:pBdr>
              <w:spacing w:before="0" w:after="0" w:line="275" w:lineRule="atLeast"/>
            </w:pPr>
            <w:hyperlink r:id="r98">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43" name="Picture 1" descr="Display Key Number Topics"/>
                  <a:graphic>
                    <a:graphicData uri="http://schemas.openxmlformats.org/drawingml/2006/picture">
                      <p:pic>
                        <p:nvPicPr>
                          <p:cNvPr id="44" name="Picture 1" descr="Display Key Number Topics"/>
                          <p:cNvPicPr/>
                        </p:nvPicPr>
                        <p:blipFill>
                          <a:blip r:embed="r21"/>
                          <a:srcRect/>
                          <a:stretch>
                            <a:fillRect/>
                          </a:stretch>
                        </p:blipFill>
                        <p:spPr>
                          <a:xfrm>
                            <a:off x="0" y="0"/>
                            <a:ext cx="133350" cy="76200"/>
                          </a:xfrm>
                          <a:prstGeom prst="rect"/>
                        </p:spPr>
                      </p:pic>
                    </a:graphicData>
                  </a:graphic>
                </wp:inline>
              </w:drawing>
            </w:r>
            <w:hyperlink r:id="r99">
              <w:r>
                <w:rPr>
                  <w:rFonts w:ascii="Times New Roman" w:hAnsi="Times New Roman"/>
                  <w:color w:val="006fc4"/>
                  <w:sz w:val="20"/>
                </w:rPr>
                <w:t>Disability and Disease, Physical or Mental</w:t>
              </w:r>
            </w:hyperlink>
          </w:p>
          <w:p>
            <w:pPr>
              <w:pBdr>
                <w:bottom w:val="none" w:space="2"/>
              </w:pBdr>
              <w:spacing w:before="0" w:after="0" w:line="275" w:lineRule="atLeast"/>
            </w:pPr>
            <w:hyperlink r:id="r100">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45" name="Picture 1" descr="Display Key Number Topics"/>
                  <a:graphic>
                    <a:graphicData uri="http://schemas.openxmlformats.org/drawingml/2006/picture">
                      <p:pic>
                        <p:nvPicPr>
                          <p:cNvPr id="46" name="Picture 1" descr="Display Key Number Topics"/>
                          <p:cNvPicPr/>
                        </p:nvPicPr>
                        <p:blipFill>
                          <a:blip r:embed="r21"/>
                          <a:srcRect/>
                          <a:stretch>
                            <a:fillRect/>
                          </a:stretch>
                        </p:blipFill>
                        <p:spPr>
                          <a:xfrm>
                            <a:off x="0" y="0"/>
                            <a:ext cx="133350" cy="76200"/>
                          </a:xfrm>
                          <a:prstGeom prst="rect"/>
                        </p:spPr>
                      </p:pic>
                    </a:graphicData>
                  </a:graphic>
                </wp:inline>
              </w:drawing>
            </w:r>
            <w:hyperlink r:id="r101">
              <w:r>
                <w:rPr>
                  <w:rFonts w:ascii="Times New Roman" w:hAnsi="Times New Roman"/>
                  <w:color w:val="006fc4"/>
                  <w:sz w:val="20"/>
                </w:rPr>
                <w:t>Disability or Disease, Physical or Mental</w:t>
              </w:r>
            </w:hyperlink>
          </w:p>
        </w:tc>
      </w:tr>
      <w:bookmarkEnd w:id="122"/>
      <w:bookmarkEnd w:id="121"/>
      <w:bookmarkEnd w:id="120"/>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rational basis review for an equal protection violation, states need not make special accommodations for the disabled, so long as their actions toward such individuals are rational. </w:t>
            </w:r>
            <w:hyperlink r:id="r102">
              <w:r>
                <w:rPr>
                  <w:rFonts w:ascii="Times New Roman" w:hAnsi="Times New Roman"/>
                  <w:color w:val="006fc4"/>
                  <w:sz w:val="20"/>
                </w:rPr>
                <w:t>U.S. Const. Amend. 14</w:t>
              </w:r>
            </w:hyperlink>
            <w:r>
              <w:rPr>
                <w:rFonts w:ascii="Times New Roman" w:hAnsi="Times New Roman"/>
                <w:color w:val="1f1f1f"/>
                <w:sz w:val="20"/>
              </w:rPr>
              <w:t>.</w:t>
            </w:r>
          </w:p>
          <w:bookmarkStart w:id="125" w:name="co_headnoteId_2051884015020202308311423"/>
          <w:p>
            <w:pPr>
              <w:spacing w:before="200" w:after="0" w:line="275" w:lineRule="atLeast"/>
              <w:jc w:val="both"/>
            </w:pPr>
            <w:hyperlink r:id="r103">
              <w:r>
                <w:rPr>
                  <w:rFonts w:ascii="Times New Roman" w:hAnsi="Times New Roman"/>
                  <w:color w:val="006fc4"/>
                  <w:sz w:val="20"/>
                </w:rPr>
                <w:t>1 Case that cites this headnote</w:t>
              </w:r>
            </w:hyperlink>
          </w:p>
          <w:bookmarkEnd w:id="125"/>
        </w:tc>
      </w:tr>
    </w:tbl>
    <w:p>
      <w:pPr>
        <w:spacing w:before="0" w:after="0" w:line="240" w:lineRule="auto"/>
        <w:rPr>
          <w:sz w:val="20"/>
        </w:rPr>
      </w:pPr>
    </w:p>
    <w:tbl>
      <w:tblPr>
        <w:tblInd w:w="30" w:type="dxa"/>
        <w:tblLayout w:type="fixed"/>
      </w:tblPr>
      <w:tblGrid>
        <w:gridCol w:w="600"/>
        <w:gridCol w:w="9450"/>
      </w:tblGrid>
      <w:bookmarkStart w:id="126" w:name="co_anchor_2051884015021_1"/>
      <w:bookmarkStart w:id="127" w:name="Athens_headnoteCell_F212051884015_1"/>
      <w:bookmarkStart w:id="128" w:name="co_headnotesTable_19_1"/>
      <w:tr>
        <w:tblPrEx/>
        <w:trPr/>
        <w:tc>
          <w:tcPr>
            <w:tcMar>
              <w:left w:w="30" w:type="dxa"/>
              <w:right w:w="30" w:type="dxa"/>
            </w:tcMar>
            <w:vAlign w:val="top"/>
          </w:tcPr>
          <w:p>
            <w:pPr>
              <w:spacing w:before="0" w:after="0" w:line="275" w:lineRule="atLeast"/>
            </w:pPr>
            <w:bookmarkStart w:id="129" w:name="co_anchor_F212051884015_1"/>
            <w:bookmarkStart w:id="130" w:name="co_anchor_headNote_[21]_1"/>
            <w:hyperlink w:anchor="co_pp_HNF21_1">
              <w:r>
                <w:rPr>
                  <w:rFonts w:ascii="Times New Roman" w:hAnsi="Times New Roman"/>
                  <w:b/>
                  <w:color w:val="006fc4"/>
                  <w:sz w:val="20"/>
                  <w:vertAlign w:val="superscript"/>
                </w:rPr>
                <w:t>[21]</w:t>
              </w:r>
            </w:hyperlink>
            <w:bookmarkEnd w:id="130"/>
            <w:bookmarkEnd w:id="129"/>
          </w:p>
        </w:tc>
        <w:tc>
          <w:tcPr>
            <w:tcMar>
              <w:left w:w="30" w:type="dxa"/>
              <w:right w:w="30" w:type="dxa"/>
            </w:tcMar>
            <w:vAlign w:val="top"/>
          </w:tcPr>
          <w:p>
            <w:pPr>
              <w:pBdr>
                <w:bottom w:val="none" w:space="2"/>
              </w:pBdr>
              <w:spacing w:before="0" w:after="0" w:line="275" w:lineRule="atLeast"/>
            </w:pPr>
            <w:hyperlink r:id="r104">
              <w:r>
                <w:rPr>
                  <w:rFonts w:ascii="Times New Roman" w:hAnsi="Times New Roman"/>
                  <w:b/>
                  <w:color w:val="006fc4"/>
                  <w:sz w:val="20"/>
                </w:rPr>
                <w:t>Constitutional Law</w:t>
              </w:r>
            </w:hyperlink>
            <w:r>
              <w:rPr>
                <w:rFonts w:ascii="Times New Roman" w:hAnsi="Times New Roman"/>
                <w:color w:val="1f1f1f"/>
                <w:sz w:val="20"/>
              </w:rPr>
              <w:drawing>
                <wp:inline>
                  <wp:extent cx="133350" cy="76200"/>
                  <wp:docPr id="47" name="Picture 1" descr="Display Key Number Topics"/>
                  <a:graphic>
                    <a:graphicData uri="http://schemas.openxmlformats.org/drawingml/2006/picture">
                      <p:pic>
                        <p:nvPicPr>
                          <p:cNvPr id="48" name="Picture 1" descr="Display Key Number Topics"/>
                          <p:cNvPicPr/>
                        </p:nvPicPr>
                        <p:blipFill>
                          <a:blip r:embed="r21"/>
                          <a:srcRect/>
                          <a:stretch>
                            <a:fillRect/>
                          </a:stretch>
                        </p:blipFill>
                        <p:spPr>
                          <a:xfrm>
                            <a:off x="0" y="0"/>
                            <a:ext cx="133350" cy="76200"/>
                          </a:xfrm>
                          <a:prstGeom prst="rect"/>
                        </p:spPr>
                      </p:pic>
                    </a:graphicData>
                  </a:graphic>
                </wp:inline>
              </w:drawing>
            </w:r>
            <w:hyperlink r:id="r105">
              <w:r>
                <w:rPr>
                  <w:rFonts w:ascii="Times New Roman" w:hAnsi="Times New Roman"/>
                  <w:color w:val="006fc4"/>
                  <w:sz w:val="20"/>
                </w:rPr>
                <w:t>Disposition after verdict or other determination;  prisons</w:t>
              </w:r>
            </w:hyperlink>
          </w:p>
          <w:p>
            <w:pPr>
              <w:pBdr>
                <w:bottom w:val="none" w:space="2"/>
              </w:pBdr>
              <w:spacing w:before="0" w:after="0" w:line="275" w:lineRule="atLeast"/>
            </w:pPr>
            <w:hyperlink r:id="r106">
              <w:r>
                <w:rPr>
                  <w:rFonts w:ascii="Times New Roman" w:hAnsi="Times New Roman"/>
                  <w:b/>
                  <w:color w:val="006fc4"/>
                  <w:sz w:val="20"/>
                </w:rPr>
                <w:t>Prisons</w:t>
              </w:r>
            </w:hyperlink>
            <w:r>
              <w:rPr>
                <w:rFonts w:ascii="Times New Roman" w:hAnsi="Times New Roman"/>
                <w:color w:val="1f1f1f"/>
                <w:sz w:val="20"/>
              </w:rPr>
              <w:drawing>
                <wp:inline>
                  <wp:extent cx="133350" cy="76200"/>
                  <wp:docPr id="49" name="Picture 1" descr="Display Key Number Topics"/>
                  <a:graphic>
                    <a:graphicData uri="http://schemas.openxmlformats.org/drawingml/2006/picture">
                      <p:pic>
                        <p:nvPicPr>
                          <p:cNvPr id="50" name="Picture 1" descr="Display Key Number Topics"/>
                          <p:cNvPicPr/>
                        </p:nvPicPr>
                        <p:blipFill>
                          <a:blip r:embed="r21"/>
                          <a:srcRect/>
                          <a:stretch>
                            <a:fillRect/>
                          </a:stretch>
                        </p:blipFill>
                        <p:spPr>
                          <a:xfrm>
                            <a:off x="0" y="0"/>
                            <a:ext cx="133350" cy="76200"/>
                          </a:xfrm>
                          <a:prstGeom prst="rect"/>
                        </p:spPr>
                      </p:pic>
                    </a:graphicData>
                  </a:graphic>
                </wp:inline>
              </w:drawing>
            </w:r>
            <w:hyperlink r:id="r107">
              <w:r>
                <w:rPr>
                  <w:rFonts w:ascii="Times New Roman" w:hAnsi="Times New Roman"/>
                  <w:color w:val="006fc4"/>
                  <w:sz w:val="20"/>
                </w:rPr>
                <w:t>Conditional release;  community placement</w:t>
              </w:r>
            </w:hyperlink>
          </w:p>
        </w:tc>
      </w:tr>
      <w:bookmarkEnd w:id="128"/>
      <w:bookmarkEnd w:id="127"/>
      <w:bookmarkEnd w:id="126"/>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Rational basis existed, for equal protection purposes, for returning plaintiff to state prison, i.e., her continued housing in residential community corrections program was unsafe because program operator lacked medical staff and could not provide extended bedrest or medical care to plaintiff, and thus, Colorado Department of Criminal Justice (CDCJ) and Colorado Department of Corrections (CDOC) were not liable for equal protection violation arising from plaintiff being returned to prison because program operator, which was subcontractor of CDCJ and CDOC under contracts between CDCJ, CDOC, and county, deemed her unable to work because she aggravated a previous spinal stenosis disability. </w:t>
            </w:r>
            <w:hyperlink r:id="r108">
              <w:r>
                <w:rPr>
                  <w:rFonts w:ascii="Times New Roman" w:hAnsi="Times New Roman"/>
                  <w:color w:val="006fc4"/>
                  <w:sz w:val="20"/>
                </w:rPr>
                <w:t>U.S. Const. Amend. 14</w:t>
              </w:r>
            </w:hyperlink>
            <w:r>
              <w:rPr>
                <w:rFonts w:ascii="Times New Roman" w:hAnsi="Times New Roman"/>
                <w:color w:val="1f1f1f"/>
                <w:sz w:val="20"/>
              </w:rPr>
              <w:t xml:space="preserve">; </w:t>
            </w:r>
            <w:hyperlink r:id="r109">
              <w:r>
                <w:rPr>
                  <w:rFonts w:ascii="Times New Roman" w:hAnsi="Times New Roman"/>
                  <w:color w:val="006fc4"/>
                  <w:sz w:val="20"/>
                </w:rPr>
                <w:t>Colo. Rev. Stat. Ann. §§ 17-27-101</w:t>
              </w:r>
            </w:hyperlink>
            <w:r>
              <w:rPr>
                <w:rFonts w:ascii="Times New Roman" w:hAnsi="Times New Roman"/>
                <w:color w:val="1f1f1f"/>
                <w:sz w:val="20"/>
              </w:rPr>
              <w:t xml:space="preserve">, </w:t>
            </w:r>
            <w:hyperlink r:id="r110">
              <w:r>
                <w:rPr>
                  <w:rFonts w:ascii="Times New Roman" w:hAnsi="Times New Roman"/>
                  <w:color w:val="006fc4"/>
                  <w:sz w:val="20"/>
                </w:rPr>
                <w:t>17-27-103(1, 4)</w:t>
              </w:r>
            </w:hyperlink>
            <w:r>
              <w:rPr>
                <w:rFonts w:ascii="Times New Roman" w:hAnsi="Times New Roman"/>
                <w:color w:val="1f1f1f"/>
                <w:sz w:val="20"/>
              </w:rPr>
              <w:t xml:space="preserve">, </w:t>
            </w:r>
            <w:hyperlink r:id="r111">
              <w:r>
                <w:rPr>
                  <w:rFonts w:ascii="Times New Roman" w:hAnsi="Times New Roman"/>
                  <w:color w:val="006fc4"/>
                  <w:sz w:val="20"/>
                </w:rPr>
                <w:t>17-27-108(1, 2)</w:t>
              </w:r>
            </w:hyperlink>
            <w:r>
              <w:rPr>
                <w:rFonts w:ascii="Times New Roman" w:hAnsi="Times New Roman"/>
                <w:color w:val="1f1f1f"/>
                <w:sz w:val="20"/>
              </w:rPr>
              <w:t>.</w:t>
            </w:r>
          </w:p>
          <w:bookmarkStart w:id="131" w:name="co_headnoteId_2051884015021202308311423"/>
          <w:p>
            <w:pPr>
              <w:spacing w:before="200" w:after="0" w:line="275" w:lineRule="atLeast"/>
              <w:jc w:val="both"/>
            </w:pPr>
            <w:hyperlink r:id="r112">
              <w:r>
                <w:rPr>
                  <w:rFonts w:ascii="Times New Roman" w:hAnsi="Times New Roman"/>
                  <w:color w:val="006fc4"/>
                  <w:sz w:val="20"/>
                </w:rPr>
                <w:t>2 Cases that cite this headnote</w:t>
              </w:r>
            </w:hyperlink>
          </w:p>
          <w:bookmarkEnd w:id="131"/>
        </w:tc>
      </w:tr>
    </w:tbl>
    <w:p>
      <w:pPr>
        <w:spacing w:before="0" w:after="0" w:line="240" w:lineRule="auto"/>
        <w:rPr>
          <w:sz w:val="20"/>
        </w:rPr>
      </w:pPr>
    </w:p>
    <w:tbl>
      <w:tblPr>
        <w:tblInd w:w="30" w:type="dxa"/>
        <w:tblLayout w:type="fixed"/>
      </w:tblPr>
      <w:tblGrid>
        <w:gridCol w:w="600"/>
        <w:gridCol w:w="9450"/>
      </w:tblGrid>
      <w:bookmarkStart w:id="132" w:name="co_anchor_2051884015022_1"/>
      <w:bookmarkStart w:id="133" w:name="Athens_headnoteCell_F222051884015_1"/>
      <w:bookmarkStart w:id="134" w:name="co_headnotesTable_20_1"/>
      <w:tr>
        <w:tblPrEx/>
        <w:trPr/>
        <w:tc>
          <w:tcPr>
            <w:tcMar>
              <w:left w:w="30" w:type="dxa"/>
              <w:right w:w="30" w:type="dxa"/>
            </w:tcMar>
            <w:vAlign w:val="top"/>
          </w:tcPr>
          <w:p>
            <w:pPr>
              <w:spacing w:before="0" w:after="0" w:line="275" w:lineRule="atLeast"/>
            </w:pPr>
            <w:bookmarkStart w:id="135" w:name="co_anchor_F222051884015_1"/>
            <w:bookmarkStart w:id="136" w:name="co_anchor_headNote_[22]_1"/>
            <w:hyperlink w:anchor="co_pp_HNF22_1">
              <w:r>
                <w:rPr>
                  <w:rFonts w:ascii="Times New Roman" w:hAnsi="Times New Roman"/>
                  <w:b/>
                  <w:color w:val="006fc4"/>
                  <w:sz w:val="20"/>
                  <w:vertAlign w:val="superscript"/>
                </w:rPr>
                <w:t>[22]</w:t>
              </w:r>
            </w:hyperlink>
            <w:bookmarkEnd w:id="136"/>
            <w:bookmarkEnd w:id="135"/>
          </w:p>
        </w:tc>
        <w:tc>
          <w:tcPr>
            <w:tcMar>
              <w:left w:w="30" w:type="dxa"/>
              <w:right w:w="30" w:type="dxa"/>
            </w:tcMar>
            <w:vAlign w:val="top"/>
          </w:tcPr>
          <w:p>
            <w:pPr>
              <w:pBdr>
                <w:bottom w:val="none" w:space="2"/>
              </w:pBdr>
              <w:spacing w:before="0" w:after="0" w:line="275" w:lineRule="atLeast"/>
            </w:pPr>
            <w:hyperlink r:id="r113">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1" name="Picture 1" descr="Display Key Number Topics"/>
                  <a:graphic>
                    <a:graphicData uri="http://schemas.openxmlformats.org/drawingml/2006/picture">
                      <p:pic>
                        <p:nvPicPr>
                          <p:cNvPr id="52" name="Picture 1" descr="Display Key Number Topics"/>
                          <p:cNvPicPr/>
                        </p:nvPicPr>
                        <p:blipFill>
                          <a:blip r:embed="r21"/>
                          <a:srcRect/>
                          <a:stretch>
                            <a:fillRect/>
                          </a:stretch>
                        </p:blipFill>
                        <p:spPr>
                          <a:xfrm>
                            <a:off x="0" y="0"/>
                            <a:ext cx="133350" cy="76200"/>
                          </a:xfrm>
                          <a:prstGeom prst="rect"/>
                        </p:spPr>
                      </p:pic>
                    </a:graphicData>
                  </a:graphic>
                </wp:inline>
              </w:drawing>
            </w:r>
            <w:hyperlink r:id="r114">
              <w:r>
                <w:rPr>
                  <w:rFonts w:ascii="Times New Roman" w:hAnsi="Times New Roman"/>
                  <w:color w:val="006fc4"/>
                  <w:sz w:val="20"/>
                </w:rPr>
                <w:t>Failure to mention or inadequacy of treatment of error in appellate briefs</w:t>
              </w:r>
            </w:hyperlink>
          </w:p>
        </w:tc>
      </w:tr>
      <w:bookmarkEnd w:id="134"/>
      <w:bookmarkEnd w:id="133"/>
      <w:bookmarkEnd w:id="132"/>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The Court of Appeals does not consider arguments newly hatched at oral argument.</w:t>
            </w:r>
          </w:p>
          <w:bookmarkStart w:id="137" w:name="co_headnoteId_2051884015022202308311423"/>
          <w:p>
            <w:pPr>
              <w:spacing w:before="200" w:after="0" w:line="275" w:lineRule="atLeast"/>
              <w:jc w:val="both"/>
            </w:pPr>
            <w:hyperlink r:id="r115">
              <w:r>
                <w:rPr>
                  <w:rFonts w:ascii="Times New Roman" w:hAnsi="Times New Roman"/>
                  <w:color w:val="006fc4"/>
                  <w:sz w:val="20"/>
                </w:rPr>
                <w:t>2 Cases that cite this headnote</w:t>
              </w:r>
            </w:hyperlink>
          </w:p>
          <w:bookmarkEnd w:id="137"/>
        </w:tc>
      </w:tr>
    </w:tbl>
    <w:p>
      <w:pPr>
        <w:spacing w:before="0" w:after="0" w:line="240" w:lineRule="auto"/>
        <w:rPr>
          <w:sz w:val="20"/>
        </w:rPr>
      </w:pPr>
    </w:p>
    <w:tbl>
      <w:tblPr>
        <w:tblInd w:w="30" w:type="dxa"/>
        <w:tblLayout w:type="fixed"/>
      </w:tblPr>
      <w:tblGrid>
        <w:gridCol w:w="600"/>
        <w:gridCol w:w="9450"/>
      </w:tblGrid>
      <w:bookmarkStart w:id="138" w:name="co_anchor_2051884015023_1"/>
      <w:bookmarkStart w:id="139" w:name="Athens_headnoteCell_F232051884015_1"/>
      <w:bookmarkStart w:id="140" w:name="co_headnotesTable_21_1"/>
      <w:tr>
        <w:tblPrEx/>
        <w:trPr/>
        <w:tc>
          <w:tcPr>
            <w:tcMar>
              <w:left w:w="30" w:type="dxa"/>
              <w:right w:w="30" w:type="dxa"/>
            </w:tcMar>
            <w:vAlign w:val="top"/>
          </w:tcPr>
          <w:p>
            <w:pPr>
              <w:spacing w:before="0" w:after="0" w:line="275" w:lineRule="atLeast"/>
            </w:pPr>
            <w:bookmarkStart w:id="141" w:name="co_anchor_F232051884015_1"/>
            <w:bookmarkStart w:id="142" w:name="co_anchor_headNote_[23]_1"/>
            <w:hyperlink w:anchor="co_pp_HNF23_1">
              <w:r>
                <w:rPr>
                  <w:rFonts w:ascii="Times New Roman" w:hAnsi="Times New Roman"/>
                  <w:b/>
                  <w:color w:val="006fc4"/>
                  <w:sz w:val="20"/>
                  <w:vertAlign w:val="superscript"/>
                </w:rPr>
                <w:t>[23]</w:t>
              </w:r>
            </w:hyperlink>
            <w:bookmarkEnd w:id="142"/>
            <w:bookmarkEnd w:id="141"/>
          </w:p>
        </w:tc>
        <w:tc>
          <w:tcPr>
            <w:tcMar>
              <w:left w:w="30" w:type="dxa"/>
              <w:right w:w="30" w:type="dxa"/>
            </w:tcMar>
            <w:vAlign w:val="top"/>
          </w:tcPr>
          <w:p>
            <w:pPr>
              <w:pBdr>
                <w:bottom w:val="none" w:space="2"/>
              </w:pBdr>
              <w:spacing w:before="0" w:after="0" w:line="275" w:lineRule="atLeast"/>
            </w:pPr>
            <w:hyperlink r:id="r116">
              <w:r>
                <w:rPr>
                  <w:rFonts w:ascii="Times New Roman" w:hAnsi="Times New Roman"/>
                  <w:b/>
                  <w:color w:val="006fc4"/>
                  <w:sz w:val="20"/>
                </w:rPr>
                <w:t>Federal Courts</w:t>
              </w:r>
            </w:hyperlink>
            <w:r>
              <w:rPr>
                <w:rFonts w:ascii="Times New Roman" w:hAnsi="Times New Roman"/>
                <w:color w:val="1f1f1f"/>
                <w:sz w:val="20"/>
              </w:rPr>
              <w:drawing>
                <wp:inline>
                  <wp:extent cx="133350" cy="76200"/>
                  <wp:docPr id="53" name="Picture 1" descr="Display Key Number Topics"/>
                  <a:graphic>
                    <a:graphicData uri="http://schemas.openxmlformats.org/drawingml/2006/picture">
                      <p:pic>
                        <p:nvPicPr>
                          <p:cNvPr id="54" name="Picture 1" descr="Display Key Number Topics"/>
                          <p:cNvPicPr/>
                        </p:nvPicPr>
                        <p:blipFill>
                          <a:blip r:embed="r21"/>
                          <a:srcRect/>
                          <a:stretch>
                            <a:fillRect/>
                          </a:stretch>
                        </p:blipFill>
                        <p:spPr>
                          <a:xfrm>
                            <a:off x="0" y="0"/>
                            <a:ext cx="133350" cy="76200"/>
                          </a:xfrm>
                          <a:prstGeom prst="rect"/>
                        </p:spPr>
                      </p:pic>
                    </a:graphicData>
                  </a:graphic>
                </wp:inline>
              </w:drawing>
            </w:r>
            <w:hyperlink r:id="r117">
              <w:r>
                <w:rPr>
                  <w:rFonts w:ascii="Times New Roman" w:hAnsi="Times New Roman"/>
                  <w:color w:val="006fc4"/>
                  <w:sz w:val="20"/>
                </w:rPr>
                <w:t>Agencies, officers, and public employees</w:t>
              </w:r>
            </w:hyperlink>
          </w:p>
        </w:tc>
      </w:tr>
      <w:bookmarkEnd w:id="140"/>
      <w:bookmarkEnd w:id="139"/>
      <w:bookmarkEnd w:id="138"/>
      <w:tr>
        <w:tblPrEx/>
        <w:trPr/>
        <w:tc>
          <w:tcPr>
            <w:tcMar>
              <w:left w:w="30" w:type="dxa"/>
              <w:right w:w="30" w:type="dxa"/>
            </w:tcMar>
            <w:vAlign w:val="top"/>
          </w:tcPr>
          <w:p>
            <w:pPr>
              <w:spacing w:before="0" w:after="0" w:line="240" w:lineRule="auto"/>
              <w:rPr>
                <w:rFonts w:ascii="Times New Roman" w:hAnsi="Times New Roman"/>
                <w:color w:val="1f1f1f"/>
                <w:sz w:val="20"/>
              </w:rPr>
            </w:pPr>
          </w:p>
        </w:tc>
        <w:tc>
          <w:tcPr>
            <w:tcMar>
              <w:left w:w="30" w:type="dxa"/>
              <w:right w:w="30" w:type="dxa"/>
            </w:tcMar>
            <w:vAlign w:val="top"/>
          </w:tcPr>
          <w:p>
            <w:pPr>
              <w:spacing w:before="0" w:after="0" w:line="275" w:lineRule="atLeast"/>
              <w:jc w:val="both"/>
            </w:pPr>
            <w:r>
              <w:rPr>
                <w:rFonts w:ascii="Times New Roman" w:hAnsi="Times New Roman"/>
                <w:color w:val="1f1f1f"/>
                <w:sz w:val="20"/>
              </w:rPr>
              <w:t xml:space="preserve">Under Eleventh Amendment immunity from suit in federal court, money damages are unavailable against state officials sued in their official capacities. </w:t>
            </w:r>
            <w:hyperlink r:id="r118">
              <w:r>
                <w:rPr>
                  <w:rFonts w:ascii="Times New Roman" w:hAnsi="Times New Roman"/>
                  <w:color w:val="006fc4"/>
                  <w:sz w:val="20"/>
                </w:rPr>
                <w:t>U.S. Const. Amend. 11</w:t>
              </w:r>
            </w:hyperlink>
            <w:r>
              <w:rPr>
                <w:rFonts w:ascii="Times New Roman" w:hAnsi="Times New Roman"/>
                <w:color w:val="1f1f1f"/>
                <w:sz w:val="20"/>
              </w:rPr>
              <w:t>.</w:t>
            </w:r>
          </w:p>
        </w:tc>
      </w:tr>
    </w:tbl>
    <w:bookmarkStart w:id="143" w:name="co_headnoteId_2051884015023202308311423"/>
    <w:p>
      <w:pPr>
        <w:spacing w:before="0" w:after="0" w:line="275" w:lineRule="atLeast"/>
        <w:jc w:val="both"/>
      </w:pPr>
    </w:p>
    <w:bookmarkEnd w:id="143"/>
    <w:p>
      <w:pPr>
        <w:pBdr>
          <w:top w:val="none" w:space="4"/>
        </w:pBdr>
        <w:spacing w:before="200" w:after="0" w:line="275" w:lineRule="atLeast"/>
        <w:jc w:val="both"/>
      </w:pPr>
      <w:bookmarkStart w:id="144" w:name="co_headnotesEnd_1"/>
      <w:bookmarkEnd w:id="144"/>
    </w:p>
    <w:p>
      <w:pPr>
        <w:spacing w:before="200" w:after="0" w:line="275" w:lineRule="atLeast"/>
        <w:jc w:val="both"/>
      </w:pPr>
      <w:bookmarkStart w:id="145" w:name="co_pp_sp_506_1090_1"/>
      <w:r>
        <w:rPr>
          <w:rFonts w:ascii="Times New Roman" w:hAnsi="Times New Roman"/>
          <w:b/>
          <w:color w:val="000000"/>
          <w:sz w:val="20"/>
        </w:rPr>
        <w:t>*1090</w:t>
      </w:r>
      <w:bookmarkEnd w:id="145"/>
      <w:r>
        <w:rPr>
          <w:rFonts w:ascii="Times New Roman" w:hAnsi="Times New Roman"/>
          <w:color w:val="1f1f1f"/>
          <w:sz w:val="20"/>
        </w:rPr>
        <w:t xml:space="preserve"> </w:t>
      </w:r>
      <w:r>
        <w:rPr>
          <w:rFonts w:ascii="Times New Roman" w:hAnsi="Times New Roman"/>
          <w:b/>
          <w:color w:val="1f1f1f"/>
          <w:sz w:val="20"/>
        </w:rPr>
        <w:t>Appeal from the United States District Court for the District of Colorado (D.C. No. 1:14-CV-01577-RPM)</w:t>
      </w:r>
      <w:r>
        <w:rPr>
          <w:rFonts w:ascii="Times New Roman" w:hAnsi="Times New Roman"/>
          <w:color w:val="1f1f1f"/>
          <w:sz w:val="20"/>
        </w:rPr>
        <w:t xml:space="preserve"> (D. Colo.)</w:t>
      </w:r>
    </w:p>
    <w:bookmarkStart w:id="146"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146"/>
    <w:p>
      <w:pPr>
        <w:spacing w:before="200" w:after="0" w:line="275" w:lineRule="atLeast"/>
        <w:jc w:val="both"/>
      </w:pPr>
      <w:hyperlink r:id="r119">
        <w:r>
          <w:rPr>
            <w:rFonts w:ascii="Times New Roman" w:hAnsi="Times New Roman"/>
            <w:color w:val="006fc4"/>
            <w:sz w:val="20"/>
          </w:rPr>
          <w:t>Michael Fairhurst</w:t>
        </w:r>
      </w:hyperlink>
      <w:r>
        <w:rPr>
          <w:rFonts w:ascii="Times New Roman" w:hAnsi="Times New Roman"/>
          <w:color w:val="1f1f1f"/>
          <w:sz w:val="20"/>
        </w:rPr>
        <w:t xml:space="preserve"> (</w:t>
      </w:r>
      <w:hyperlink r:id="r120">
        <w:r>
          <w:rPr>
            <w:rFonts w:ascii="Times New Roman" w:hAnsi="Times New Roman"/>
            <w:color w:val="006fc4"/>
            <w:sz w:val="20"/>
          </w:rPr>
          <w:t>David Lane</w:t>
        </w:r>
      </w:hyperlink>
      <w:r>
        <w:rPr>
          <w:rFonts w:ascii="Times New Roman" w:hAnsi="Times New Roman"/>
          <w:color w:val="1f1f1f"/>
          <w:sz w:val="20"/>
        </w:rPr>
        <w:t>, with him on the briefs), Killmer, Lane &amp; Newman LLP, Denver, Colorado, on behalf of the Plaintiff-Appellant.</w:t>
      </w:r>
    </w:p>
    <w:p>
      <w:pPr>
        <w:spacing w:before="200" w:after="0" w:line="275" w:lineRule="atLeast"/>
        <w:jc w:val="both"/>
      </w:pPr>
      <w:r>
        <w:rPr>
          <w:rFonts w:ascii="Times New Roman" w:hAnsi="Times New Roman"/>
          <w:color w:val="1f1f1f"/>
          <w:sz w:val="20"/>
        </w:rPr>
        <w:t>Cathern H. Smith, Assistant Attorney General (Philip J. Weiser, Attorney General for the State of Colorado, with her on the brief), Denver, Colorado, on behalf of the Defendants-Appellees.</w:t>
      </w:r>
    </w:p>
    <w:p>
      <w:pPr>
        <w:spacing w:before="200" w:after="0" w:line="275" w:lineRule="atLeast"/>
        <w:jc w:val="both"/>
      </w:pPr>
      <w:hyperlink r:id="r121">
        <w:r>
          <w:rPr>
            <w:rFonts w:ascii="Times New Roman" w:hAnsi="Times New Roman"/>
            <w:color w:val="006fc4"/>
            <w:sz w:val="20"/>
          </w:rPr>
          <w:t>Amy Farr Robertson</w:t>
        </w:r>
      </w:hyperlink>
      <w:r>
        <w:rPr>
          <w:rFonts w:ascii="Times New Roman" w:hAnsi="Times New Roman"/>
          <w:color w:val="1f1f1f"/>
          <w:sz w:val="20"/>
        </w:rPr>
        <w:t>, Co-Executive Director, Civil Rights Education and Enforcement Center, Denver, Colorado, and Claudia Center, Senior Staff Attorney, Disability Rights Program, American Civil Liberties Union, San Francisco, California, filed an Amici Curiae brief, in support of Appellant.</w:t>
      </w:r>
    </w:p>
    <w:p>
      <w:pPr>
        <w:spacing w:before="0" w:after="0" w:line="275" w:lineRule="atLeast"/>
        <w:jc w:val="both"/>
      </w:pPr>
      <w:r>
        <w:rPr>
          <w:rFonts w:ascii="Times New Roman" w:hAnsi="Times New Roman"/>
          <w:color w:val="1f1f1f"/>
          <w:sz w:val="20"/>
        </w:rPr>
        <w:t xml:space="preserve">Before </w:t>
      </w:r>
      <w:hyperlink r:id="r122">
        <w:r>
          <w:rPr>
            <w:rFonts w:ascii="Times New Roman" w:hAnsi="Times New Roman"/>
            <w:color w:val="006fc4"/>
            <w:sz w:val="20"/>
          </w:rPr>
          <w:t>BACHARACH</w:t>
        </w:r>
      </w:hyperlink>
      <w:r>
        <w:rPr>
          <w:rFonts w:ascii="Times New Roman" w:hAnsi="Times New Roman"/>
          <w:color w:val="1f1f1f"/>
          <w:sz w:val="20"/>
        </w:rPr>
        <w:t xml:space="preserve"> and </w:t>
      </w:r>
      <w:hyperlink r:id="r123">
        <w:r>
          <w:rPr>
            <w:rFonts w:ascii="Times New Roman" w:hAnsi="Times New Roman"/>
            <w:color w:val="006fc4"/>
            <w:sz w:val="20"/>
          </w:rPr>
          <w:t>CARSON</w:t>
        </w:r>
      </w:hyperlink>
      <w:r>
        <w:rPr>
          <w:rFonts w:ascii="Times New Roman" w:hAnsi="Times New Roman"/>
          <w:color w:val="1f1f1f"/>
          <w:sz w:val="20"/>
        </w:rPr>
        <w:t>,</w:t>
      </w:r>
      <w:bookmarkStart w:id="147" w:name="co_fnRef_B00012051884015_ID0E2NBG_1"/>
      <w:hyperlink w:anchor="co_footnote_B00012051884015_1">
        <w:r>
          <w:rPr>
            <w:rFonts w:ascii="Times New Roman" w:hAnsi="Times New Roman"/>
            <w:color w:val="006fc4"/>
            <w:sz w:val="16"/>
            <w:vertAlign w:val="superscript"/>
          </w:rPr>
          <w:t>*</w:t>
        </w:r>
      </w:hyperlink>
      <w:bookmarkEnd w:id="147"/>
      <w:r>
        <w:rPr>
          <w:rFonts w:ascii="Times New Roman" w:hAnsi="Times New Roman"/>
          <w:color w:val="1f1f1f"/>
          <w:sz w:val="20"/>
        </w:rPr>
        <w:t xml:space="preserve"> Circuit Judges.</w:t>
      </w:r>
    </w:p>
    <w:bookmarkStart w:id="148" w:name="co_anchor_Iebaab7f2483311eebf22c578e276"/>
    <w:bookmarkStart w:id="149" w:name="co_anchor_Iebc4a891483311eebf22c578e276"/>
    <w:bookmarkStart w:id="150" w:name="co_anchor_Iebc4a891483311eebf22c578e2"/>
    <w:p>
      <w:pPr>
        <w:spacing w:before="600" w:after="0" w:line="275" w:lineRule="atLeast"/>
        <w:jc w:val="center"/>
      </w:pPr>
      <w:r>
        <w:rPr>
          <w:rFonts w:ascii="Times New Roman" w:hAnsi="Times New Roman"/>
          <w:b/>
          <w:color w:val="1f1f1f"/>
          <w:sz w:val="20"/>
        </w:rPr>
        <w:t>ORDER</w:t>
      </w:r>
    </w:p>
    <w:bookmarkEnd w:id="150"/>
    <w:bookmarkEnd w:id="149"/>
    <w:bookmarkEnd w:id="148"/>
    <w:p>
      <w:pPr>
        <w:spacing w:before="200" w:after="0" w:line="275" w:lineRule="atLeast"/>
        <w:jc w:val="both"/>
      </w:pPr>
      <w:r>
        <w:rPr>
          <w:rFonts w:ascii="Times New Roman" w:hAnsi="Times New Roman"/>
          <w:color w:val="1f1f1f"/>
          <w:sz w:val="20"/>
        </w:rPr>
        <w:t xml:space="preserve">This matter is before the court on the Appellees’ </w:t>
      </w:r>
      <w:r>
        <w:rPr>
          <w:rFonts w:ascii="Times New Roman" w:hAnsi="Times New Roman"/>
          <w:i/>
          <w:color w:val="1f1f1f"/>
          <w:sz w:val="20"/>
        </w:rPr>
        <w:t>Petition for Rehearing En Banc</w:t>
      </w:r>
      <w:r>
        <w:rPr>
          <w:rFonts w:ascii="Times New Roman" w:hAnsi="Times New Roman"/>
          <w:color w:val="1f1f1f"/>
          <w:sz w:val="20"/>
        </w:rPr>
        <w:t xml:space="preserve"> (“Petition”). As an initial matter, we </w:t>
      </w:r>
      <w:r>
        <w:rPr>
          <w:rFonts w:ascii="Times New Roman" w:hAnsi="Times New Roman"/>
          <w:i/>
          <w:color w:val="1f1f1f"/>
          <w:sz w:val="20"/>
        </w:rPr>
        <w:t>sua sponte</w:t>
      </w:r>
      <w:r>
        <w:rPr>
          <w:rFonts w:ascii="Times New Roman" w:hAnsi="Times New Roman"/>
          <w:color w:val="1f1f1f"/>
          <w:sz w:val="20"/>
        </w:rPr>
        <w:t xml:space="preserve"> grant panel rehearing only to the extent of the changes to the original opinion that are reflected in the attached revised opinion. The original opinion is withdrawn and replaced by the attached revised opinion. Because the revised opinion contains only non-substantive changes that do not affect the outcome of this appeal, it shall be filed </w:t>
      </w:r>
      <w:r>
        <w:rPr>
          <w:rFonts w:ascii="Times New Roman" w:hAnsi="Times New Roman"/>
          <w:i/>
          <w:color w:val="1f1f1f"/>
          <w:sz w:val="20"/>
        </w:rPr>
        <w:t>nunc pro tunc</w:t>
      </w:r>
      <w:r>
        <w:rPr>
          <w:rFonts w:ascii="Times New Roman" w:hAnsi="Times New Roman"/>
          <w:color w:val="1f1f1f"/>
          <w:sz w:val="20"/>
        </w:rPr>
        <w:t xml:space="preserve"> to the date the original opinion was filed. Appellees may not file a second or successive rehearing petition. </w:t>
      </w:r>
      <w:r>
        <w:rPr>
          <w:rFonts w:ascii="Times New Roman" w:hAnsi="Times New Roman"/>
          <w:i/>
          <w:color w:val="1f1f1f"/>
          <w:sz w:val="20"/>
        </w:rPr>
        <w:t>See</w:t>
      </w:r>
      <w:r>
        <w:rPr>
          <w:rFonts w:ascii="Times New Roman" w:hAnsi="Times New Roman"/>
          <w:color w:val="1f1f1f"/>
          <w:sz w:val="20"/>
        </w:rPr>
        <w:t xml:space="preserve"> </w:t>
      </w:r>
      <w:hyperlink r:id="r124">
        <w:r>
          <w:rPr>
            <w:rFonts w:ascii="Times New Roman" w:hAnsi="Times New Roman"/>
            <w:color w:val="006fc4"/>
            <w:sz w:val="20"/>
          </w:rPr>
          <w:t>10th Cir. R. 40.3</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Petition was transmitted to all judges of the court who are in regular active service. As no member of the panel and no judge in regular active service requested that the court be polled, the request </w:t>
      </w:r>
      <w:bookmarkStart w:id="151" w:name="co_pp_sp_506_1091_1"/>
      <w:r>
        <w:rPr>
          <w:rFonts w:ascii="Times New Roman" w:hAnsi="Times New Roman"/>
          <w:b/>
          <w:color w:val="000000"/>
          <w:sz w:val="20"/>
        </w:rPr>
        <w:t>*1091</w:t>
      </w:r>
      <w:bookmarkEnd w:id="151"/>
      <w:r>
        <w:rPr>
          <w:rFonts w:ascii="Times New Roman" w:hAnsi="Times New Roman"/>
          <w:color w:val="1f1f1f"/>
          <w:sz w:val="20"/>
        </w:rPr>
        <w:t xml:space="preserve"> for en banc review is denied. </w:t>
      </w:r>
      <w:r>
        <w:rPr>
          <w:rFonts w:ascii="Times New Roman" w:hAnsi="Times New Roman"/>
          <w:i/>
          <w:color w:val="1f1f1f"/>
          <w:sz w:val="20"/>
        </w:rPr>
        <w:t>See</w:t>
      </w:r>
      <w:r>
        <w:rPr>
          <w:rFonts w:ascii="Times New Roman" w:hAnsi="Times New Roman"/>
          <w:color w:val="1f1f1f"/>
          <w:sz w:val="20"/>
        </w:rPr>
        <w:t xml:space="preserve"> </w:t>
      </w:r>
      <w:hyperlink r:id="r125">
        <w:r>
          <w:rPr>
            <w:rFonts w:ascii="Times New Roman" w:hAnsi="Times New Roman"/>
            <w:color w:val="006fc4"/>
            <w:sz w:val="20"/>
          </w:rPr>
          <w:t>Fed. R. App. P. 35(f)</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July 14, 2020 </w:t>
      </w:r>
      <w:r>
        <w:rPr>
          <w:rFonts w:ascii="Times New Roman" w:hAnsi="Times New Roman"/>
          <w:i/>
          <w:color w:val="1f1f1f"/>
          <w:sz w:val="20"/>
        </w:rPr>
        <w:t>Unopposed Motion for Leave to File Brief of Amici Curiae in Opposition to Petition for Rehearing En Banc</w:t>
      </w:r>
      <w:r>
        <w:rPr>
          <w:rFonts w:ascii="Times New Roman" w:hAnsi="Times New Roman"/>
          <w:color w:val="1f1f1f"/>
          <w:sz w:val="20"/>
        </w:rPr>
        <w:t xml:space="preserve"> is granted.</w:t>
      </w:r>
    </w:p>
    <w:p>
      <w:pPr>
        <w:spacing w:before="0" w:after="0" w:line="275" w:lineRule="atLeast"/>
        <w:jc w:val="both"/>
      </w:pPr>
      <w:r>
        <w:rPr>
          <w:rFonts w:ascii="Times New Roman" w:hAnsi="Times New Roman"/>
          <w:color w:val="1f1f1f"/>
          <w:sz w:val="20"/>
        </w:rPr>
        <w:t> </w:t>
      </w:r>
    </w:p>
    <w:bookmarkStart w:id="152" w:name="co_opinion_1"/>
    <w:p>
      <w:pPr>
        <w:keepNext/>
        <w:keepLines/>
        <w:spacing w:before="200" w:after="0" w:line="275" w:lineRule="atLeast"/>
        <w:jc w:val="both"/>
      </w:pPr>
      <w:r>
        <w:rPr>
          <w:rFonts w:ascii="Times New Roman" w:hAnsi="Times New Roman"/>
          <w:b/>
          <w:color w:val="212121"/>
          <w:sz w:val="20"/>
        </w:rPr>
        <w:t>Opinion</w:t>
      </w:r>
    </w:p>
    <w:bookmarkEnd w:id="152"/>
    <w:bookmarkStart w:id="153" w:name="co_anchor_Iebaadf03483311eebf22c578e276"/>
    <w:p>
      <w:pPr>
        <w:spacing w:before="200" w:after="0" w:line="275" w:lineRule="atLeast"/>
        <w:jc w:val="both"/>
      </w:pPr>
      <w:hyperlink r:id="r126">
        <w:r>
          <w:rPr>
            <w:rFonts w:ascii="Times New Roman" w:hAnsi="Times New Roman"/>
            <w:color w:val="006fc4"/>
            <w:sz w:val="20"/>
          </w:rPr>
          <w:t>BACHARACH</w:t>
        </w:r>
      </w:hyperlink>
      <w:r>
        <w:rPr>
          <w:rFonts w:ascii="Times New Roman" w:hAnsi="Times New Roman"/>
          <w:color w:val="1f1f1f"/>
          <w:sz w:val="20"/>
        </w:rPr>
        <w:t>, Circuit Judge.</w:t>
      </w:r>
    </w:p>
    <w:bookmarkEnd w:id="153"/>
    <w:bookmarkStart w:id="154" w:name="co_anchor_Iebc60822483311eebf22c578e276"/>
    <w:p>
      <w:pPr>
        <w:spacing w:before="200" w:after="0" w:line="275" w:lineRule="atLeast"/>
        <w:jc w:val="both"/>
      </w:pPr>
      <w:r>
        <w:rPr>
          <w:rFonts w:ascii="Times New Roman" w:hAnsi="Times New Roman"/>
          <w:color w:val="1f1f1f"/>
          <w:sz w:val="20"/>
        </w:rPr>
        <w:t>Ms. Nancy Marks was serving a prison term in Colorado when she entered a community corrections program operated by Intervention Community Corrections Services. To stay in the program, Ms. Marks needed to remain employed. But while participating in the program, she aggravated a previous disability, and Intervention deemed her unable to work. So Intervention terminated Ms. Marks from the program and returned her to prison. (This is called “regression” to prison.)</w:t>
      </w:r>
    </w:p>
    <w:bookmarkEnd w:id="154"/>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Ms. Marks sued, blaming her regression on two Colorado agencies: the Colorado Department of Corrections (CDOC) and the Colorado Department of Criminal Justice (CDCJ).</w:t>
      </w:r>
      <w:bookmarkStart w:id="155" w:name="co_fnRef_B00022051884015_ID0EUUBG_1"/>
      <w:hyperlink w:anchor="co_footnote_B00022051884015_1">
        <w:r>
          <w:rPr>
            <w:rFonts w:ascii="Times New Roman" w:hAnsi="Times New Roman"/>
            <w:color w:val="006fc4"/>
            <w:sz w:val="16"/>
            <w:vertAlign w:val="superscript"/>
          </w:rPr>
          <w:t>1</w:t>
        </w:r>
      </w:hyperlink>
      <w:bookmarkEnd w:id="155"/>
      <w:r>
        <w:rPr>
          <w:rFonts w:ascii="Times New Roman" w:hAnsi="Times New Roman"/>
          <w:color w:val="1f1f1f"/>
          <w:sz w:val="20"/>
        </w:rPr>
        <w:t xml:space="preserve"> In the suit, Ms. Marks sought damages and prospective relief based on</w:t>
      </w:r>
    </w:p>
    <w:p>
      <w:pPr>
        <w:spacing w:before="200" w:after="0" w:line="275" w:lineRule="atLeast"/>
        <w:ind w:left="400" w:right="0" w:hanging="200"/>
        <w:jc w:val="both"/>
      </w:pPr>
      <w:r>
        <w:rPr>
          <w:rFonts w:ascii="Times New Roman" w:hAnsi="Times New Roman"/>
          <w:color w:val="1f1f1f"/>
          <w:sz w:val="20"/>
        </w:rPr>
        <w:t>• violations of the Americans with Disabilities Act and the Rehabilitation Act and</w:t>
      </w:r>
    </w:p>
    <w:p>
      <w:pPr>
        <w:spacing w:before="200" w:after="0" w:line="275" w:lineRule="atLeast"/>
        <w:ind w:left="400" w:right="0" w:hanging="200"/>
        <w:jc w:val="both"/>
      </w:pPr>
      <w:r>
        <w:rPr>
          <w:rFonts w:ascii="Times New Roman" w:hAnsi="Times New Roman"/>
          <w:color w:val="1f1f1f"/>
          <w:sz w:val="20"/>
        </w:rPr>
        <w:t>• a denial of equal protection.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district court dismissed the claims for prospective relief as moot and granted summary judgment to the CDOC and CDCJ on the remaining claims on grounds that</w:t>
      </w:r>
    </w:p>
    <w:p>
      <w:pPr>
        <w:spacing w:before="200" w:after="0" w:line="275" w:lineRule="atLeast"/>
        <w:ind w:left="400" w:right="0" w:hanging="200"/>
        <w:jc w:val="both"/>
      </w:pPr>
      <w:r>
        <w:rPr>
          <w:rFonts w:ascii="Times New Roman" w:hAnsi="Times New Roman"/>
          <w:color w:val="1f1f1f"/>
          <w:sz w:val="20"/>
        </w:rPr>
        <w:t>• the Rehabilitation Act did not apply because Intervention had not received federal funding,</w:t>
      </w:r>
    </w:p>
    <w:p>
      <w:pPr>
        <w:spacing w:before="200" w:after="0" w:line="275" w:lineRule="atLeast"/>
        <w:ind w:left="400" w:right="0" w:hanging="200"/>
        <w:jc w:val="both"/>
      </w:pPr>
      <w:r>
        <w:rPr>
          <w:rFonts w:ascii="Times New Roman" w:hAnsi="Times New Roman"/>
          <w:color w:val="1f1f1f"/>
          <w:sz w:val="20"/>
        </w:rPr>
        <w:t>• neither the CDOC nor the CDCJ could incur liability under the Americans with Disabilities Act or Rehabilitation Act for Intervention's decision to regress Ms. Marks, and</w:t>
      </w:r>
    </w:p>
    <w:p>
      <w:pPr>
        <w:spacing w:before="200" w:after="0" w:line="275" w:lineRule="atLeast"/>
        <w:ind w:left="400" w:right="0" w:hanging="200"/>
        <w:jc w:val="both"/>
      </w:pPr>
      <w:r>
        <w:rPr>
          <w:rFonts w:ascii="Times New Roman" w:hAnsi="Times New Roman"/>
          <w:color w:val="1f1f1f"/>
          <w:sz w:val="20"/>
        </w:rPr>
        <w:t>• the equal-protection claim failed because Ms. Marks did not show that the regression decision had lacked a rational basis.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We affirm in part and reverse in part. We agree with the district court that (1) the claims for prospective relief were moot and (2) neither the CDOC nor CDCJ violated Ms. Marks's right to equal protection. But we reverse the award of summary judgment on the claims involving the Rehabilitation Act and Americans with Disabilities Act. On these claims, the district court made two errors.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First, the court mistakenly concluded that the Rehabilitation Act didn't apply because Intervention hadn't received federal funding. The court should have considered whether the federal government had funded the CDOC and CDCJ, not Intervention.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Second, the court mistakenly focused on whether the CDOC and CDCJ could incur liability under the Rehabilitation Act and Americans with Disabilities Act for a regression decision unilaterally made by Intervention. This focus reflects a misunderstanding of Ms. Marks's claim and the statutes. The statutes prohibit public and federally funded entities from discriminating against disabled persons in programs like community corrections. These prohibitions apply regardless of whether the entities operate the programs directly or indirectly. So the CDOC and CDCJ could incur liability for disability discrimination by operating the program through Intervention.</w:t>
      </w:r>
    </w:p>
    <w:p>
      <w:pPr>
        <w:spacing w:before="0" w:after="0" w:line="275" w:lineRule="atLeast"/>
        <w:jc w:val="both"/>
      </w:pPr>
      <w:r>
        <w:rPr>
          <w:rFonts w:ascii="Times New Roman" w:hAnsi="Times New Roman"/>
          <w:color w:val="1f1f1f"/>
          <w:sz w:val="20"/>
        </w:rPr>
        <w:t> </w:t>
      </w:r>
    </w:p>
    <w:bookmarkStart w:id="156" w:name="co_anchor_Iebc8c741483311eebf22c578e276"/>
    <w:bookmarkStart w:id="157" w:name="co_anchor_Iebc8c741483311eebf22c578e2"/>
    <w:p>
      <w:pPr>
        <w:spacing w:before="400" w:after="0" w:line="275" w:lineRule="atLeast"/>
      </w:pPr>
      <w:bookmarkStart w:id="158" w:name="co_pp_sp_506_1092_1"/>
      <w:r>
        <w:rPr>
          <w:rFonts w:ascii="Times New Roman" w:hAnsi="Times New Roman"/>
          <w:b/>
          <w:color w:val="000000"/>
          <w:sz w:val="20"/>
        </w:rPr>
        <w:t>*1092</w:t>
      </w:r>
      <w:bookmarkEnd w:id="158"/>
      <w:r>
        <w:rPr>
          <w:rFonts w:ascii="Times New Roman" w:hAnsi="Times New Roman"/>
          <w:color w:val="1f1f1f"/>
          <w:sz w:val="20"/>
        </w:rPr>
        <w:t xml:space="preserve"> </w:t>
      </w:r>
      <w:r>
        <w:rPr>
          <w:rFonts w:ascii="Times New Roman" w:hAnsi="Times New Roman"/>
          <w:b/>
          <w:color w:val="1f1f1f"/>
          <w:sz w:val="20"/>
        </w:rPr>
        <w:t>1. The Colorado Community Corrections System</w:t>
      </w:r>
    </w:p>
    <w:bookmarkEnd w:id="157"/>
    <w:bookmarkEnd w:id="156"/>
    <w:p>
      <w:pPr>
        <w:spacing w:before="0" w:after="0" w:line="275" w:lineRule="atLeast"/>
        <w:jc w:val="both"/>
      </w:pPr>
      <w:r>
        <w:rPr>
          <w:rFonts w:ascii="Times New Roman" w:hAnsi="Times New Roman"/>
          <w:color w:val="1f1f1f"/>
          <w:sz w:val="20"/>
        </w:rPr>
        <w:t xml:space="preserve">In Colorado, local governments operate community corrections programs under state oversight. </w:t>
      </w:r>
      <w:hyperlink r:id="r127">
        <w:r>
          <w:rPr>
            <w:rFonts w:ascii="Times New Roman" w:hAnsi="Times New Roman"/>
            <w:color w:val="006fc4"/>
            <w:sz w:val="20"/>
          </w:rPr>
          <w:t>Colo. Rev. Stat. §§ 17-27-101</w:t>
        </w:r>
      </w:hyperlink>
      <w:r>
        <w:rPr>
          <w:rFonts w:ascii="Times New Roman" w:hAnsi="Times New Roman"/>
          <w:color w:val="1f1f1f"/>
          <w:sz w:val="20"/>
        </w:rPr>
        <w:t xml:space="preserve">, </w:t>
      </w:r>
      <w:hyperlink r:id="r128">
        <w:r>
          <w:rPr>
            <w:rFonts w:ascii="Times New Roman" w:hAnsi="Times New Roman"/>
            <w:color w:val="006fc4"/>
            <w:sz w:val="20"/>
          </w:rPr>
          <w:t>17-27-108(1)</w:t>
        </w:r>
      </w:hyperlink>
      <w:r>
        <w:rPr>
          <w:rFonts w:ascii="Times New Roman" w:hAnsi="Times New Roman"/>
          <w:color w:val="1f1f1f"/>
          <w:sz w:val="20"/>
        </w:rPr>
        <w:t>–</w:t>
      </w:r>
      <w:hyperlink r:id="r129">
        <w:r>
          <w:rPr>
            <w:rFonts w:ascii="Times New Roman" w:hAnsi="Times New Roman"/>
            <w:color w:val="006fc4"/>
            <w:sz w:val="20"/>
          </w:rPr>
          <w:t>(2) (2013)</w:t>
        </w:r>
      </w:hyperlink>
      <w:r>
        <w:rPr>
          <w:rFonts w:ascii="Times New Roman" w:hAnsi="Times New Roman"/>
          <w:color w:val="1f1f1f"/>
          <w:sz w:val="20"/>
        </w:rPr>
        <w:t xml:space="preserve">. Colorado provides this oversight through the CDOC and CDCJ, which set standards, administer contracts with local governments and other providers of community corrections, and audit the facilities. </w:t>
      </w:r>
      <w:hyperlink r:id="r130">
        <w:r>
          <w:rPr>
            <w:rFonts w:ascii="Times New Roman" w:hAnsi="Times New Roman"/>
            <w:i/>
            <w:color w:val="006fc4"/>
            <w:sz w:val="20"/>
          </w:rPr>
          <w:t>Id.</w:t>
        </w:r>
        <w:r>
          <w:rPr>
            <w:rFonts w:ascii="Times New Roman" w:hAnsi="Times New Roman"/>
            <w:color w:val="006fc4"/>
            <w:sz w:val="20"/>
          </w:rPr>
          <w:t xml:space="preserve"> § 17-27-108(1)</w:t>
        </w:r>
      </w:hyperlink>
      <w:r>
        <w:rPr>
          <w:rFonts w:ascii="Times New Roman" w:hAnsi="Times New Roman"/>
          <w:color w:val="1f1f1f"/>
          <w:sz w:val="20"/>
        </w:rPr>
        <w:t>–</w:t>
      </w:r>
      <w:hyperlink r:id="r131">
        <w:r>
          <w:rPr>
            <w:rFonts w:ascii="Times New Roman" w:hAnsi="Times New Roman"/>
            <w:color w:val="006fc4"/>
            <w:sz w:val="20"/>
          </w:rPr>
          <w:t>(2)</w:t>
        </w:r>
      </w:hyperlink>
      <w:r>
        <w:rPr>
          <w:rFonts w:ascii="Times New Roman" w:hAnsi="Times New Roman"/>
          <w:color w:val="1f1f1f"/>
          <w:sz w:val="20"/>
        </w:rPr>
        <w:t xml:space="preserve">. Under state oversight, localities can enter contracts to operate community corrections programs. </w:t>
      </w:r>
      <w:r>
        <w:rPr>
          <w:rFonts w:ascii="Times New Roman" w:hAnsi="Times New Roman"/>
          <w:i/>
          <w:color w:val="1f1f1f"/>
          <w:sz w:val="20"/>
        </w:rPr>
        <w:t>Id.</w:t>
      </w:r>
      <w:r>
        <w:rPr>
          <w:rFonts w:ascii="Times New Roman" w:hAnsi="Times New Roman"/>
          <w:color w:val="1f1f1f"/>
          <w:sz w:val="20"/>
        </w:rPr>
        <w:t xml:space="preserve"> § 17-27-103(1).</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With this authority, Jefferson County entered into a contract with CDOC and the Board of Commissioners entered into a contract with the CDCJ. In turn, Jefferson County contracted with Intervention to run the community corrections program where Ms. Marks was placed.</w:t>
      </w:r>
    </w:p>
    <w:bookmarkStart w:id="159" w:name="co_anchor_Iebb36a80483311eebf22c578e276"/>
    <w:p>
      <w:pPr>
        <w:spacing w:before="0" w:after="0" w:line="275" w:lineRule="atLeast"/>
        <w:jc w:val="both"/>
      </w:pPr>
      <w:hyperlink r:id="r132">
        <w:r>
          <w:rPr>
            <w:rFonts w:ascii="Times New Roman" w:hAnsi="Times New Roman"/>
            <w:color w:val="006fc4"/>
            <w:sz w:val="66"/>
          </w:rPr>
          <w:drawing>
            <wp:inline>
              <wp:extent cx="5067300" cy="4810623"/>
              <wp:docPr id="55" name="Picture 2" descr="Image 1 within Marks v. Colorado Department of Corrections"/>
              <a:graphic>
                <a:graphicData uri="http://schemas.openxmlformats.org/drawingml/2006/picture">
                  <p:pic>
                    <p:nvPicPr>
                      <p:cNvPr id="56" name="Picture 2" descr="Image 1 within Marks v. Colorado Department of Corrections"/>
                      <p:cNvPicPr/>
                    </p:nvPicPr>
                    <p:blipFill>
                      <a:blip r:embed="r134"/>
                      <a:srcRect/>
                      <a:stretch>
                        <a:fillRect/>
                      </a:stretch>
                    </p:blipFill>
                    <p:spPr>
                      <a:xfrm>
                        <a:off x="0" y="0"/>
                        <a:ext cx="5067300" cy="4810623"/>
                      </a:xfrm>
                      <a:prstGeom prst="rect"/>
                    </p:spPr>
                  </p:pic>
                </a:graphicData>
              </a:graphic>
            </wp:inline>
          </w:drawing>
        </w:r>
      </w:hyperlink>
      <w:hyperlink r:id="r133">
        <w:r>
          <w:rPr>
            <w:rFonts w:ascii="Times New Roman" w:hAnsi="Times New Roman"/>
            <w:color w:val="006fc4"/>
            <w:sz w:val="20"/>
          </w:rPr>
          <w:t>​</w:t>
        </w:r>
      </w:hyperlink>
    </w:p>
    <w:bookmarkEnd w:id="159"/>
    <w:p>
      <w:pPr>
        <w:spacing w:before="0" w:after="0" w:line="275" w:lineRule="atLeast"/>
        <w:jc w:val="both"/>
      </w:pPr>
      <w:r>
        <w:rPr>
          <w:rFonts w:ascii="Times New Roman" w:hAnsi="Times New Roman"/>
          <w:color w:val="1f1f1f"/>
          <w:sz w:val="20"/>
        </w:rPr>
        <w:t>The CDCJ contract specified that any subcontractors had to adhere to the CDCJ's standards.</w:t>
      </w:r>
      <w:bookmarkStart w:id="160" w:name="co_fnRef_B00032051884015_ID0EN3BG_1"/>
      <w:hyperlink w:anchor="co_footnote_B00032051884015_1">
        <w:r>
          <w:rPr>
            <w:rFonts w:ascii="Times New Roman" w:hAnsi="Times New Roman"/>
            <w:color w:val="006fc4"/>
            <w:sz w:val="16"/>
            <w:vertAlign w:val="superscript"/>
          </w:rPr>
          <w:t>2</w:t>
        </w:r>
      </w:hyperlink>
      <w:bookmarkEnd w:id="160"/>
    </w:p>
    <w:p>
      <w:pPr>
        <w:spacing w:before="0" w:after="0" w:line="275" w:lineRule="atLeast"/>
        <w:jc w:val="both"/>
      </w:pPr>
      <w:r>
        <w:rPr>
          <w:rFonts w:ascii="Times New Roman" w:hAnsi="Times New Roman"/>
          <w:color w:val="1f1f1f"/>
          <w:sz w:val="20"/>
        </w:rPr>
        <w:t> </w:t>
      </w:r>
    </w:p>
    <w:bookmarkStart w:id="161" w:name="co_anchor_Iebca4de1483311eebf22c578e276"/>
    <w:bookmarkStart w:id="162" w:name="co_anchor_Iebca4de1483311eebf22c578e2"/>
    <w:p>
      <w:pPr>
        <w:spacing w:before="400" w:after="0" w:line="275" w:lineRule="atLeast"/>
      </w:pPr>
      <w:r>
        <w:rPr>
          <w:rFonts w:ascii="Times New Roman" w:hAnsi="Times New Roman"/>
          <w:b/>
          <w:color w:val="1f1f1f"/>
          <w:sz w:val="20"/>
        </w:rPr>
        <w:t>2. Aggravation of Ms. Marks's Injury and Her Regression to Prison</w:t>
      </w:r>
    </w:p>
    <w:bookmarkEnd w:id="162"/>
    <w:bookmarkEnd w:id="161"/>
    <w:p>
      <w:pPr>
        <w:spacing w:before="0" w:after="0" w:line="275" w:lineRule="atLeast"/>
        <w:jc w:val="both"/>
      </w:pPr>
      <w:r>
        <w:rPr>
          <w:rFonts w:ascii="Times New Roman" w:hAnsi="Times New Roman"/>
          <w:color w:val="1f1f1f"/>
          <w:sz w:val="20"/>
        </w:rPr>
        <w:t xml:space="preserve">Ms. Marks suffers from </w:t>
      </w:r>
      <w:hyperlink r:id="r135">
        <w:r>
          <w:rPr>
            <w:rFonts w:ascii="Times New Roman" w:hAnsi="Times New Roman"/>
            <w:color w:val="006fc4"/>
            <w:sz w:val="20"/>
          </w:rPr>
          <w:t>spinal stenosis</w:t>
        </w:r>
      </w:hyperlink>
      <w:r>
        <w:rPr>
          <w:rFonts w:ascii="Times New Roman" w:hAnsi="Times New Roman"/>
          <w:color w:val="1f1f1f"/>
          <w:sz w:val="20"/>
        </w:rPr>
        <w:t>, which limits her ability to walk and requires her to use a wheelchair. While participating in community corrections, she fell in the shower and aggravated her disability.</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incident prompted Ms. Marks's physician to send two letters to Intervention. The first letter described Ms. Marks's injuries, told Intervention to place her on </w:t>
      </w:r>
      <w:bookmarkStart w:id="163" w:name="co_pp_sp_506_1093_1"/>
      <w:r>
        <w:rPr>
          <w:rFonts w:ascii="Times New Roman" w:hAnsi="Times New Roman"/>
          <w:b/>
          <w:color w:val="000000"/>
          <w:sz w:val="20"/>
        </w:rPr>
        <w:t>*1093</w:t>
      </w:r>
      <w:bookmarkEnd w:id="163"/>
      <w:r>
        <w:rPr>
          <w:rFonts w:ascii="Times New Roman" w:hAnsi="Times New Roman"/>
          <w:color w:val="1f1f1f"/>
          <w:sz w:val="20"/>
        </w:rPr>
        <w:t xml:space="preserve"> complete bedrest for two weeks, and recommended physical therapy. The second letter indicated that Ms. Marks's treatment had been unsuccessful, that she should continue bedrest, and that she was disabled.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Although Ms. Marks alleges that she could have continued working despite her disability, Intervention decided that she couldn't and terminated her from the program:</w:t>
      </w:r>
    </w:p>
    <w:p>
      <w:pPr>
        <w:spacing w:before="200" w:after="0" w:line="275" w:lineRule="atLeast"/>
        <w:ind w:left="480" w:right="480" w:firstLine="0"/>
        <w:jc w:val="both"/>
      </w:pPr>
      <w:r>
        <w:rPr>
          <w:rFonts w:ascii="Times New Roman" w:hAnsi="Times New Roman"/>
          <w:color w:val="1f1f1f"/>
          <w:sz w:val="20"/>
        </w:rPr>
        <w:t>Six of the eleven Conditions of Placement require physical activity on the part of the client: one of the more important conditions is that she is employed at a phone location. [Ms.] Marks's medical conditions make it apparent that she will not be able to obtain employment in the foreseeable future, as is required by the ICCS residential program.... ICCS has rejected placement after acceptance as her medical conditions no longer make her appropriate to remain in the ICCS residential program.</w:t>
      </w:r>
    </w:p>
    <w:p>
      <w:pPr>
        <w:spacing w:before="200" w:after="0" w:line="275" w:lineRule="atLeast"/>
        <w:jc w:val="both"/>
      </w:pPr>
      <w:r>
        <w:rPr>
          <w:rFonts w:ascii="Times New Roman" w:hAnsi="Times New Roman"/>
          <w:color w:val="1f1f1f"/>
          <w:sz w:val="20"/>
        </w:rPr>
        <w:t>Appellant's App'x, vol. 2, at 401. Ms. Marks completed her sentence in prison rather than in the community corrections program.</w:t>
      </w:r>
    </w:p>
    <w:p>
      <w:pPr>
        <w:spacing w:before="0" w:after="0" w:line="275" w:lineRule="atLeast"/>
        <w:jc w:val="both"/>
      </w:pPr>
      <w:r>
        <w:rPr>
          <w:rFonts w:ascii="Times New Roman" w:hAnsi="Times New Roman"/>
          <w:color w:val="1f1f1f"/>
          <w:sz w:val="20"/>
        </w:rPr>
        <w:t> </w:t>
      </w:r>
    </w:p>
    <w:bookmarkStart w:id="164" w:name="co_anchor_Iebcb8661483311eebf22c578e276"/>
    <w:bookmarkStart w:id="165" w:name="co_anchor_Iebcb8661483311eebf22c578e2"/>
    <w:p>
      <w:pPr>
        <w:spacing w:before="400" w:after="0" w:line="275" w:lineRule="atLeast"/>
      </w:pPr>
      <w:r>
        <w:rPr>
          <w:rFonts w:ascii="Times New Roman" w:hAnsi="Times New Roman"/>
          <w:b/>
          <w:color w:val="1f1f1f"/>
          <w:sz w:val="20"/>
        </w:rPr>
        <w:t>3. Mootness of the Claims for Prospective Relief</w:t>
      </w:r>
    </w:p>
    <w:bookmarkEnd w:id="165"/>
    <w:bookmarkEnd w:id="164"/>
    <w:p>
      <w:pPr>
        <w:spacing w:before="0" w:after="0" w:line="275" w:lineRule="atLeast"/>
        <w:jc w:val="both"/>
      </w:pPr>
      <w:r>
        <w:rPr>
          <w:rFonts w:ascii="Times New Roman" w:hAnsi="Times New Roman"/>
          <w:color w:val="1f1f1f"/>
          <w:sz w:val="20"/>
        </w:rPr>
        <w:t>In part, Ms. Marks sought</w:t>
      </w:r>
    </w:p>
    <w:p>
      <w:pPr>
        <w:spacing w:before="200" w:after="0" w:line="275" w:lineRule="atLeast"/>
        <w:ind w:left="400" w:right="0" w:hanging="200"/>
        <w:jc w:val="both"/>
      </w:pPr>
      <w:r>
        <w:rPr>
          <w:rFonts w:ascii="Times New Roman" w:hAnsi="Times New Roman"/>
          <w:color w:val="1f1f1f"/>
          <w:sz w:val="20"/>
        </w:rPr>
        <w:t>• a declaration that her rights had been violated under Titles II and III of the Americans with Disabilities Act, Section 504 of the Rehabilitation Act, and the Constitution,</w:t>
      </w:r>
    </w:p>
    <w:p>
      <w:pPr>
        <w:spacing w:before="200" w:after="0" w:line="275" w:lineRule="atLeast"/>
        <w:ind w:left="400" w:right="0" w:hanging="200"/>
        <w:jc w:val="both"/>
      </w:pPr>
      <w:r>
        <w:rPr>
          <w:rFonts w:ascii="Times New Roman" w:hAnsi="Times New Roman"/>
          <w:color w:val="1f1f1f"/>
          <w:sz w:val="20"/>
        </w:rPr>
        <w:t>• an injunction against future discrimination, and</w:t>
      </w:r>
    </w:p>
    <w:p>
      <w:pPr>
        <w:spacing w:before="200" w:after="0" w:line="275" w:lineRule="atLeast"/>
        <w:ind w:left="400" w:right="0" w:hanging="200"/>
        <w:jc w:val="both"/>
      </w:pPr>
      <w:r>
        <w:rPr>
          <w:rFonts w:ascii="Times New Roman" w:hAnsi="Times New Roman"/>
          <w:color w:val="1f1f1f"/>
          <w:sz w:val="20"/>
        </w:rPr>
        <w:t>• an injunction ordering the CDOC and CDCJ to reasonably accommodate her disability.</w:t>
      </w:r>
    </w:p>
    <w:p>
      <w:pPr>
        <w:spacing w:before="200" w:after="0" w:line="275" w:lineRule="atLeast"/>
        <w:jc w:val="both"/>
      </w:pPr>
      <w:r>
        <w:rPr>
          <w:rFonts w:ascii="Times New Roman" w:hAnsi="Times New Roman"/>
          <w:color w:val="1f1f1f"/>
          <w:sz w:val="20"/>
        </w:rPr>
        <w:t>Appellant's App'x, vol. 1, at 47–49.</w:t>
      </w:r>
      <w:bookmarkStart w:id="166" w:name="co_fnRef_B00042051884015_ID0EDCAI_1"/>
      <w:hyperlink w:anchor="co_footnote_B00042051884015_1">
        <w:r>
          <w:rPr>
            <w:rFonts w:ascii="Times New Roman" w:hAnsi="Times New Roman"/>
            <w:color w:val="006fc4"/>
            <w:sz w:val="16"/>
            <w:vertAlign w:val="superscript"/>
          </w:rPr>
          <w:t>3</w:t>
        </w:r>
      </w:hyperlink>
      <w:bookmarkEnd w:id="166"/>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district court dismissed the claims for prospective relief as moot, reasoning that Ms. Marks had completed her sentence. On appeal, Ms. Marks invokes an exception to mootness, arguing that the defendants’ conduct was capable of repetition yet evading review.</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2051884015_1">
        <w:r>
          <w:rPr>
            <w:rFonts w:ascii="Times New Roman" w:hAnsi="Times New Roman"/>
            <w:b/>
            <w:color w:val="252525"/>
            <w:sz w:val="20"/>
            <w:bdr w:val="none" w:space="2"/>
            <w:vertAlign w:val="superscript"/>
          </w:rPr>
          <w:t>[1]</w:t>
        </w:r>
      </w:hyperlink>
      <w:r>
        <w:rPr>
          <w:rFonts w:ascii="Times New Roman" w:hAnsi="Times New Roman"/>
          <w:color w:val="1f1f1f"/>
          <w:sz w:val="20"/>
        </w:rPr>
        <w:t xml:space="preserve">We engage in de novo review of Ms. Marks's challenge to the determination of mootness. </w:t>
      </w:r>
      <w:r>
        <w:rPr>
          <w:rFonts w:ascii="Times New Roman" w:hAnsi="Times New Roman"/>
          <w:i/>
          <w:color w:val="1f1f1f"/>
          <w:sz w:val="20"/>
        </w:rPr>
        <w:t xml:space="preserve">See </w:t>
      </w:r>
      <w:hyperlink r:id="r136">
        <w:r>
          <w:rPr>
            <w:rFonts w:ascii="Times New Roman" w:hAnsi="Times New Roman"/>
            <w:i/>
            <w:color w:val="006fc4"/>
            <w:sz w:val="20"/>
          </w:rPr>
          <w:t>Rio Grande Silvery Minnow v. Bureau of Reclamation</w:t>
        </w:r>
        <w:r>
          <w:rPr>
            <w:rFonts w:ascii="Times New Roman" w:hAnsi="Times New Roman"/>
            <w:color w:val="006fc4"/>
            <w:sz w:val="20"/>
          </w:rPr>
          <w:t>, 601 F.3d 1096, 1109 (10th Cir. 2010)</w:t>
        </w:r>
      </w:hyperlink>
      <w:r>
        <w:rPr>
          <w:rFonts w:ascii="Times New Roman" w:hAnsi="Times New Roman"/>
          <w:color w:val="1f1f1f"/>
          <w:sz w:val="20"/>
        </w:rPr>
        <w:t>. Exercising de novo review, we agree that the claims for prospective relief are moot.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051884015_1">
        <w:r>
          <w:rPr>
            <w:rFonts w:ascii="Times New Roman" w:hAnsi="Times New Roman"/>
            <w:b/>
            <w:color w:val="252525"/>
            <w:sz w:val="20"/>
            <w:bdr w:val="none" w:space="2"/>
            <w:vertAlign w:val="superscript"/>
          </w:rPr>
          <w:t>[2]</w:t>
        </w:r>
      </w:hyperlink>
      <w:r>
        <w:rPr>
          <w:rFonts w:ascii="Times New Roman" w:hAnsi="Times New Roman"/>
          <w:color w:val="1f1f1f"/>
          <w:sz w:val="20"/>
        </w:rPr>
        <w:t xml:space="preserve"> </w:t>
      </w:r>
      <w:hyperlink w:anchor="co_hn_anchor_F32051884015_1">
        <w:r>
          <w:rPr>
            <w:rFonts w:ascii="Times New Roman" w:hAnsi="Times New Roman"/>
            <w:b/>
            <w:color w:val="252525"/>
            <w:sz w:val="20"/>
            <w:bdr w:val="none" w:space="2"/>
            <w:vertAlign w:val="superscript"/>
          </w:rPr>
          <w:t>[3]</w:t>
        </w:r>
      </w:hyperlink>
      <w:r>
        <w:rPr>
          <w:rFonts w:ascii="Times New Roman" w:hAnsi="Times New Roman"/>
          <w:color w:val="1f1f1f"/>
          <w:sz w:val="20"/>
        </w:rPr>
        <w:t xml:space="preserve"> </w:t>
      </w:r>
      <w:hyperlink w:anchor="co_hn_anchor_F42051884015_1">
        <w:r>
          <w:rPr>
            <w:rFonts w:ascii="Times New Roman" w:hAnsi="Times New Roman"/>
            <w:b/>
            <w:color w:val="252525"/>
            <w:sz w:val="20"/>
            <w:bdr w:val="none" w:space="2"/>
            <w:vertAlign w:val="superscript"/>
          </w:rPr>
          <w:t>[4]</w:t>
        </w:r>
      </w:hyperlink>
      <w:r>
        <w:rPr>
          <w:rFonts w:ascii="Times New Roman" w:hAnsi="Times New Roman"/>
          <w:color w:val="1f1f1f"/>
          <w:sz w:val="20"/>
        </w:rPr>
        <w:t xml:space="preserve">Federal jurisdiction exists only if the court could grant relief affecting the plaintiff's rights. </w:t>
      </w:r>
      <w:r>
        <w:rPr>
          <w:rFonts w:ascii="Times New Roman" w:hAnsi="Times New Roman"/>
          <w:i/>
          <w:color w:val="1f1f1f"/>
          <w:sz w:val="20"/>
        </w:rPr>
        <w:t xml:space="preserve">See </w:t>
      </w:r>
      <w:hyperlink r:id="r137">
        <w:r>
          <w:rPr>
            <w:rFonts w:ascii="Times New Roman" w:hAnsi="Times New Roman"/>
            <w:i/>
            <w:color w:val="006fc4"/>
            <w:sz w:val="20"/>
          </w:rPr>
          <w:t>Preiser v. Newkirk</w:t>
        </w:r>
        <w:r>
          <w:rPr>
            <w:rFonts w:ascii="Times New Roman" w:hAnsi="Times New Roman"/>
            <w:color w:val="006fc4"/>
            <w:sz w:val="20"/>
          </w:rPr>
          <w:t>, 422 U.S. 395, 401, 95 S.Ct. 2330, 45 L.Ed.2d 272 (1975)</w:t>
        </w:r>
      </w:hyperlink>
      <w:r>
        <w:rPr>
          <w:rFonts w:ascii="Times New Roman" w:hAnsi="Times New Roman"/>
          <w:color w:val="1f1f1f"/>
          <w:sz w:val="20"/>
        </w:rPr>
        <w:t xml:space="preserve"> (noting that courts may not “decide questions that cannot affect the rights of litigants in the case before them” (quoting </w:t>
      </w:r>
      <w:hyperlink r:id="r138">
        <w:r>
          <w:rPr>
            <w:rFonts w:ascii="Times New Roman" w:hAnsi="Times New Roman"/>
            <w:i/>
            <w:color w:val="006fc4"/>
            <w:sz w:val="20"/>
          </w:rPr>
          <w:t>North Carolina v. Rice</w:t>
        </w:r>
        <w:r>
          <w:rPr>
            <w:rFonts w:ascii="Times New Roman" w:hAnsi="Times New Roman"/>
            <w:color w:val="006fc4"/>
            <w:sz w:val="20"/>
          </w:rPr>
          <w:t>, 404 U.S. 244, 246, 92 S.Ct. 402, 30 L.Ed.2d 413 (1971)</w:t>
        </w:r>
      </w:hyperlink>
      <w:r>
        <w:rPr>
          <w:rFonts w:ascii="Times New Roman" w:hAnsi="Times New Roman"/>
          <w:color w:val="1f1f1f"/>
          <w:sz w:val="20"/>
        </w:rPr>
        <w:t xml:space="preserve">)). The grounds for jurisdiction must exist throughout the litigation, even as circumstances change. </w:t>
      </w:r>
      <w:r>
        <w:rPr>
          <w:rFonts w:ascii="Times New Roman" w:hAnsi="Times New Roman"/>
          <w:i/>
          <w:color w:val="1f1f1f"/>
          <w:sz w:val="20"/>
        </w:rPr>
        <w:t xml:space="preserve">See </w:t>
      </w:r>
      <w:hyperlink r:id="r139">
        <w:r>
          <w:rPr>
            <w:rFonts w:ascii="Times New Roman" w:hAnsi="Times New Roman"/>
            <w:i/>
            <w:color w:val="006fc4"/>
            <w:sz w:val="20"/>
          </w:rPr>
          <w:t>Jordan v. Sosa</w:t>
        </w:r>
        <w:r>
          <w:rPr>
            <w:rFonts w:ascii="Times New Roman" w:hAnsi="Times New Roman"/>
            <w:color w:val="006fc4"/>
            <w:sz w:val="20"/>
          </w:rPr>
          <w:t>, 654 F.3d 1012, 1024 (10th Cir. 2011)</w:t>
        </w:r>
      </w:hyperlink>
      <w:r>
        <w:rPr>
          <w:rFonts w:ascii="Times New Roman" w:hAnsi="Times New Roman"/>
          <w:color w:val="1f1f1f"/>
          <w:sz w:val="20"/>
        </w:rPr>
        <w:t xml:space="preserve">. When circumstances change and the court can no longer affect the plaintiff's rights, the case ordinarily becomes moot. </w:t>
      </w:r>
      <w:hyperlink r:id="r140">
        <w:r>
          <w:rPr>
            <w:rFonts w:ascii="Times New Roman" w:hAnsi="Times New Roman"/>
            <w:i/>
            <w:color w:val="006fc4"/>
            <w:sz w:val="20"/>
          </w:rPr>
          <w:t>Id.</w:t>
        </w:r>
      </w:hyperlink>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52051884015_1">
        <w:r>
          <w:rPr>
            <w:rFonts w:ascii="Times New Roman" w:hAnsi="Times New Roman"/>
            <w:b/>
            <w:color w:val="252525"/>
            <w:sz w:val="20"/>
            <w:bdr w:val="none" w:space="2"/>
            <w:vertAlign w:val="superscript"/>
          </w:rPr>
          <w:t>[5]</w:t>
        </w:r>
      </w:hyperlink>
      <w:r>
        <w:rPr>
          <w:rFonts w:ascii="Times New Roman" w:hAnsi="Times New Roman"/>
          <w:color w:val="1f1f1f"/>
          <w:sz w:val="20"/>
        </w:rPr>
        <w:t xml:space="preserve"> </w:t>
      </w:r>
      <w:hyperlink w:anchor="co_hn_anchor_F62051884015_1">
        <w:r>
          <w:rPr>
            <w:rFonts w:ascii="Times New Roman" w:hAnsi="Times New Roman"/>
            <w:b/>
            <w:color w:val="252525"/>
            <w:sz w:val="20"/>
            <w:bdr w:val="none" w:space="2"/>
            <w:vertAlign w:val="superscript"/>
          </w:rPr>
          <w:t>[6]</w:t>
        </w:r>
      </w:hyperlink>
      <w:r>
        <w:rPr>
          <w:rFonts w:ascii="Times New Roman" w:hAnsi="Times New Roman"/>
          <w:color w:val="1f1f1f"/>
          <w:sz w:val="20"/>
        </w:rPr>
        <w:t xml:space="preserve"> </w:t>
      </w:r>
      <w:hyperlink w:anchor="co_hn_anchor_F72051884015_1">
        <w:r>
          <w:rPr>
            <w:rFonts w:ascii="Times New Roman" w:hAnsi="Times New Roman"/>
            <w:b/>
            <w:color w:val="252525"/>
            <w:sz w:val="20"/>
            <w:bdr w:val="none" w:space="2"/>
            <w:vertAlign w:val="superscript"/>
          </w:rPr>
          <w:t>[7]</w:t>
        </w:r>
      </w:hyperlink>
      <w:r>
        <w:rPr>
          <w:rFonts w:ascii="Times New Roman" w:hAnsi="Times New Roman"/>
          <w:color w:val="1f1f1f"/>
          <w:sz w:val="20"/>
        </w:rPr>
        <w:t xml:space="preserve"> </w:t>
      </w:r>
      <w:hyperlink w:anchor="co_hn_anchor_F82051884015_1">
        <w:r>
          <w:rPr>
            <w:rFonts w:ascii="Times New Roman" w:hAnsi="Times New Roman"/>
            <w:b/>
            <w:color w:val="252525"/>
            <w:sz w:val="20"/>
            <w:bdr w:val="none" w:space="2"/>
            <w:vertAlign w:val="superscript"/>
          </w:rPr>
          <w:t>[8]</w:t>
        </w:r>
      </w:hyperlink>
      <w:r>
        <w:rPr>
          <w:rFonts w:ascii="Times New Roman" w:hAnsi="Times New Roman"/>
          <w:color w:val="1f1f1f"/>
          <w:sz w:val="20"/>
        </w:rPr>
        <w:t xml:space="preserve">An exception exists when the wrongdoing is “capable of repetition yet evading review.” </w:t>
      </w:r>
      <w:hyperlink r:id="r141">
        <w:r>
          <w:rPr>
            <w:rFonts w:ascii="Times New Roman" w:hAnsi="Times New Roman"/>
            <w:i/>
            <w:color w:val="006fc4"/>
            <w:sz w:val="20"/>
          </w:rPr>
          <w:t>Ind v. Colo. Dep't of Corrs.</w:t>
        </w:r>
        <w:r>
          <w:rPr>
            <w:rFonts w:ascii="Times New Roman" w:hAnsi="Times New Roman"/>
            <w:color w:val="006fc4"/>
            <w:sz w:val="20"/>
          </w:rPr>
          <w:t>, 801 F.3d 1209, 1215 (10th Cir. 2015)</w:t>
        </w:r>
      </w:hyperlink>
      <w:r>
        <w:rPr>
          <w:rFonts w:ascii="Times New Roman" w:hAnsi="Times New Roman"/>
          <w:color w:val="1f1f1f"/>
          <w:sz w:val="20"/>
        </w:rPr>
        <w:t xml:space="preserve">. This exception is “narrow” and “only to be used in exceptional situations.” </w:t>
      </w:r>
      <w:hyperlink r:id="r142">
        <w:r>
          <w:rPr>
            <w:rFonts w:ascii="Times New Roman" w:hAnsi="Times New Roman"/>
            <w:i/>
            <w:color w:val="006fc4"/>
            <w:sz w:val="20"/>
          </w:rPr>
          <w:t>Jordan</w:t>
        </w:r>
        <w:r>
          <w:rPr>
            <w:rFonts w:ascii="Times New Roman" w:hAnsi="Times New Roman"/>
            <w:color w:val="006fc4"/>
            <w:sz w:val="20"/>
          </w:rPr>
          <w:t>, 654 F.3d at 1034–35</w:t>
        </w:r>
      </w:hyperlink>
      <w:r>
        <w:rPr>
          <w:rFonts w:ascii="Times New Roman" w:hAnsi="Times New Roman"/>
          <w:color w:val="1f1f1f"/>
          <w:sz w:val="20"/>
        </w:rPr>
        <w:t xml:space="preserve"> (quoting </w:t>
      </w:r>
      <w:hyperlink r:id="r143">
        <w:r>
          <w:rPr>
            <w:rFonts w:ascii="Times New Roman" w:hAnsi="Times New Roman"/>
            <w:i/>
            <w:color w:val="006fc4"/>
            <w:sz w:val="20"/>
          </w:rPr>
          <w:t>Chihuahuan Grasslands Alliance v. Kempthorne</w:t>
        </w:r>
        <w:r>
          <w:rPr>
            <w:rFonts w:ascii="Times New Roman" w:hAnsi="Times New Roman"/>
            <w:color w:val="006fc4"/>
            <w:sz w:val="20"/>
          </w:rPr>
          <w:t>, 545 F.3d 884, 892 (10th Cir. 2008)</w:t>
        </w:r>
      </w:hyperlink>
      <w:r>
        <w:rPr>
          <w:rFonts w:ascii="Times New Roman" w:hAnsi="Times New Roman"/>
          <w:color w:val="1f1f1f"/>
          <w:sz w:val="20"/>
        </w:rPr>
        <w:t xml:space="preserve"> and </w:t>
      </w:r>
      <w:hyperlink r:id="r144">
        <w:r>
          <w:rPr>
            <w:rFonts w:ascii="Times New Roman" w:hAnsi="Times New Roman"/>
            <w:i/>
            <w:color w:val="006fc4"/>
            <w:sz w:val="20"/>
          </w:rPr>
          <w:t>McAlpine v. Thompson</w:t>
        </w:r>
        <w:r>
          <w:rPr>
            <w:rFonts w:ascii="Times New Roman" w:hAnsi="Times New Roman"/>
            <w:color w:val="006fc4"/>
            <w:sz w:val="20"/>
          </w:rPr>
          <w:t>, 187 F.3d 1213, 1216 (10th Cir. 1999)</w:t>
        </w:r>
      </w:hyperlink>
      <w:r>
        <w:rPr>
          <w:rFonts w:ascii="Times New Roman" w:hAnsi="Times New Roman"/>
          <w:color w:val="1f1f1f"/>
          <w:sz w:val="20"/>
        </w:rPr>
        <w:t xml:space="preserve">). The plaintiff invoking the exception bears the burden of proof. </w:t>
      </w:r>
      <w:hyperlink r:id="r145">
        <w:r>
          <w:rPr>
            <w:rFonts w:ascii="Times New Roman" w:hAnsi="Times New Roman"/>
            <w:i/>
            <w:color w:val="006fc4"/>
            <w:sz w:val="20"/>
          </w:rPr>
          <w:t>Id.</w:t>
        </w:r>
        <w:r>
          <w:rPr>
            <w:rFonts w:ascii="Times New Roman" w:hAnsi="Times New Roman"/>
            <w:color w:val="006fc4"/>
            <w:sz w:val="20"/>
          </w:rPr>
          <w:t xml:space="preserve"> at 1035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67" w:name="co_pp_sp_506_1094_1"/>
      <w:r>
        <w:rPr>
          <w:rFonts w:ascii="Times New Roman" w:hAnsi="Times New Roman"/>
          <w:b/>
          <w:color w:val="000000"/>
          <w:sz w:val="20"/>
        </w:rPr>
        <w:t>*1094</w:t>
      </w:r>
      <w:bookmarkEnd w:id="167"/>
      <w:r>
        <w:rPr>
          <w:rFonts w:ascii="Times New Roman" w:hAnsi="Times New Roman"/>
          <w:color w:val="1f1f1f"/>
          <w:sz w:val="20"/>
        </w:rPr>
        <w:t xml:space="preserve"> To satisfy this burden, Ms. Marks must establish that</w:t>
      </w:r>
    </w:p>
    <w:p>
      <w:pPr>
        <w:spacing w:before="200" w:after="0" w:line="275" w:lineRule="atLeast"/>
        <w:ind w:left="400" w:right="0" w:hanging="200"/>
        <w:jc w:val="both"/>
      </w:pPr>
      <w:r>
        <w:rPr>
          <w:rFonts w:ascii="Times New Roman" w:hAnsi="Times New Roman"/>
          <w:color w:val="1f1f1f"/>
          <w:sz w:val="20"/>
        </w:rPr>
        <w:t>• the challenged action ended too quickly to be fully litigated and</w:t>
      </w:r>
    </w:p>
    <w:p>
      <w:pPr>
        <w:spacing w:before="200" w:after="0" w:line="275" w:lineRule="atLeast"/>
        <w:ind w:left="400" w:right="0" w:hanging="200"/>
        <w:jc w:val="both"/>
      </w:pPr>
      <w:r>
        <w:rPr>
          <w:rFonts w:ascii="Times New Roman" w:hAnsi="Times New Roman"/>
          <w:color w:val="1f1f1f"/>
          <w:sz w:val="20"/>
        </w:rPr>
        <w:t>• “a reasonable expectation” exists for Ms. Marks to again experience the same misconduct.</w:t>
      </w:r>
    </w:p>
    <w:p>
      <w:pPr>
        <w:spacing w:before="200" w:after="0" w:line="275" w:lineRule="atLeast"/>
        <w:jc w:val="both"/>
      </w:pPr>
      <w:hyperlink r:id="r146">
        <w:r>
          <w:rPr>
            <w:rFonts w:ascii="Times New Roman" w:hAnsi="Times New Roman"/>
            <w:i/>
            <w:color w:val="006fc4"/>
            <w:sz w:val="20"/>
          </w:rPr>
          <w:t>Id.</w:t>
        </w:r>
      </w:hyperlink>
      <w:r>
        <w:rPr>
          <w:rFonts w:ascii="Times New Roman" w:hAnsi="Times New Roman"/>
          <w:color w:val="1f1f1f"/>
          <w:sz w:val="20"/>
        </w:rPr>
        <w:t xml:space="preserve"> (quoting </w:t>
      </w:r>
      <w:hyperlink r:id="r147">
        <w:r>
          <w:rPr>
            <w:rFonts w:ascii="Times New Roman" w:hAnsi="Times New Roman"/>
            <w:i/>
            <w:color w:val="006fc4"/>
            <w:sz w:val="20"/>
          </w:rPr>
          <w:t>Weinstein v. Bradford</w:t>
        </w:r>
        <w:r>
          <w:rPr>
            <w:rFonts w:ascii="Times New Roman" w:hAnsi="Times New Roman"/>
            <w:color w:val="006fc4"/>
            <w:sz w:val="20"/>
          </w:rPr>
          <w:t>, 423 U.S. 147, 149, 96 S.Ct. 347, 46 L.Ed.2d 350 (1975)</w:t>
        </w:r>
      </w:hyperlink>
      <w:r>
        <w:rPr>
          <w:rFonts w:ascii="Times New Roman" w:hAnsi="Times New Roman"/>
          <w:color w:val="1f1f1f"/>
          <w:sz w:val="20"/>
        </w:rPr>
        <w:t xml:space="preserve"> (per curiam)).</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92051884015_1">
        <w:r>
          <w:rPr>
            <w:rFonts w:ascii="Times New Roman" w:hAnsi="Times New Roman"/>
            <w:b/>
            <w:color w:val="252525"/>
            <w:sz w:val="20"/>
            <w:bdr w:val="none" w:space="2"/>
            <w:vertAlign w:val="superscript"/>
          </w:rPr>
          <w:t>[9]</w:t>
        </w:r>
      </w:hyperlink>
      <w:r>
        <w:rPr>
          <w:rFonts w:ascii="Times New Roman" w:hAnsi="Times New Roman"/>
          <w:color w:val="1f1f1f"/>
          <w:sz w:val="20"/>
        </w:rPr>
        <w:t>We assume without deciding that Ms. Marks has proven that her regression ended too quickly to be litigated. Even with this assumption, the exception would not apply because Ms. Marks is unlikely to experience the same wrongdoing in the future. Ms. Marks does not allege that she may return to prison, that she may reenter a community corrections program, or that she may again face regression from a program based on her inability to work. Ms. Marks instead concedes that “the probability of recurrence against [herself] is not high.” Appellant's Opening Br. at 63.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But Ms. Marks argues that she need not show any possibility of facing the same conduct again. For this argument, she relies on cases involving abortion, elections, and press access to trials: </w:t>
      </w:r>
      <w:hyperlink r:id="r148">
        <w:r>
          <w:rPr>
            <w:rFonts w:ascii="Times New Roman" w:hAnsi="Times New Roman"/>
            <w:i/>
            <w:color w:val="006fc4"/>
            <w:sz w:val="20"/>
          </w:rPr>
          <w:t>Roe v. Wade</w:t>
        </w:r>
        <w:r>
          <w:rPr>
            <w:rFonts w:ascii="Times New Roman" w:hAnsi="Times New Roman"/>
            <w:color w:val="006fc4"/>
            <w:sz w:val="20"/>
          </w:rPr>
          <w:t>, 410 U.S. 113, 125, 93 S.Ct. 705, 35 L.Ed.2d 147 (1973)</w:t>
        </w:r>
      </w:hyperlink>
      <w:r>
        <w:rPr>
          <w:rFonts w:ascii="Times New Roman" w:hAnsi="Times New Roman"/>
          <w:color w:val="1f1f1f"/>
          <w:sz w:val="20"/>
        </w:rPr>
        <w:t xml:space="preserve">; </w:t>
      </w:r>
      <w:hyperlink r:id="r149">
        <w:r>
          <w:rPr>
            <w:rFonts w:ascii="Times New Roman" w:hAnsi="Times New Roman"/>
            <w:i/>
            <w:color w:val="006fc4"/>
            <w:sz w:val="20"/>
          </w:rPr>
          <w:t>Norman v. Reed</w:t>
        </w:r>
        <w:r>
          <w:rPr>
            <w:rFonts w:ascii="Times New Roman" w:hAnsi="Times New Roman"/>
            <w:color w:val="006fc4"/>
            <w:sz w:val="20"/>
          </w:rPr>
          <w:t>, 502 U.S. 279, 288, 112 S.Ct. 698, 116 L.Ed.2d 711 (1992)</w:t>
        </w:r>
      </w:hyperlink>
      <w:r>
        <w:rPr>
          <w:rFonts w:ascii="Times New Roman" w:hAnsi="Times New Roman"/>
          <w:color w:val="1f1f1f"/>
          <w:sz w:val="20"/>
        </w:rPr>
        <w:t xml:space="preserve">; and </w:t>
      </w:r>
      <w:hyperlink r:id="r150">
        <w:r>
          <w:rPr>
            <w:rFonts w:ascii="Times New Roman" w:hAnsi="Times New Roman"/>
            <w:i/>
            <w:color w:val="006fc4"/>
            <w:sz w:val="20"/>
          </w:rPr>
          <w:t>Press-Enterprise Co. v. Superior Court</w:t>
        </w:r>
        <w:r>
          <w:rPr>
            <w:rFonts w:ascii="Times New Roman" w:hAnsi="Times New Roman"/>
            <w:color w:val="006fc4"/>
            <w:sz w:val="20"/>
          </w:rPr>
          <w:t>, 478 U.S. 1, 7, 106 S.Ct. 2735, 92 L.Ed.2d 1 (1986)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We disagree with Ms. Marks's characterization of these cases, for they all stress the requirement that the same plaintiff face a risk of encountering the same conduct in the future. In </w:t>
      </w:r>
      <w:hyperlink r:id="r151">
        <w:r>
          <w:rPr>
            <w:rFonts w:ascii="Times New Roman" w:hAnsi="Times New Roman"/>
            <w:i/>
            <w:color w:val="006fc4"/>
            <w:sz w:val="20"/>
          </w:rPr>
          <w:t>Roe v. Wade</w:t>
        </w:r>
      </w:hyperlink>
      <w:r>
        <w:rPr>
          <w:rFonts w:ascii="Times New Roman" w:hAnsi="Times New Roman"/>
          <w:color w:val="1f1f1f"/>
          <w:sz w:val="20"/>
        </w:rPr>
        <w:t xml:space="preserve">, for example, the Supreme Court applied the mootness exception because “[p]regnancy often comes more than once </w:t>
      </w:r>
      <w:r>
        <w:rPr>
          <w:rFonts w:ascii="Times New Roman" w:hAnsi="Times New Roman"/>
          <w:i/>
          <w:color w:val="1f1f1f"/>
          <w:sz w:val="20"/>
        </w:rPr>
        <w:t>to the same woman</w:t>
      </w:r>
      <w:r>
        <w:rPr>
          <w:rFonts w:ascii="Times New Roman" w:hAnsi="Times New Roman"/>
          <w:color w:val="1f1f1f"/>
          <w:sz w:val="20"/>
        </w:rPr>
        <w:t xml:space="preserve">.” </w:t>
      </w:r>
      <w:hyperlink r:id="r152">
        <w:r>
          <w:rPr>
            <w:rFonts w:ascii="Times New Roman" w:hAnsi="Times New Roman"/>
            <w:color w:val="006fc4"/>
            <w:sz w:val="20"/>
          </w:rPr>
          <w:t>410 U.S. at 125, 93 S.Ct. 705</w:t>
        </w:r>
      </w:hyperlink>
      <w:r>
        <w:rPr>
          <w:rFonts w:ascii="Times New Roman" w:hAnsi="Times New Roman"/>
          <w:color w:val="1f1f1f"/>
          <w:sz w:val="20"/>
        </w:rPr>
        <w:t xml:space="preserve"> (emphasis added). The Supreme Court also applied the exception in </w:t>
      </w:r>
      <w:hyperlink r:id="r153">
        <w:r>
          <w:rPr>
            <w:rFonts w:ascii="Times New Roman" w:hAnsi="Times New Roman"/>
            <w:i/>
            <w:color w:val="006fc4"/>
            <w:sz w:val="20"/>
          </w:rPr>
          <w:t>Norman v. Reed</w:t>
        </w:r>
      </w:hyperlink>
      <w:r>
        <w:rPr>
          <w:rFonts w:ascii="Times New Roman" w:hAnsi="Times New Roman"/>
          <w:color w:val="1f1f1f"/>
          <w:sz w:val="20"/>
        </w:rPr>
        <w:t xml:space="preserve"> because “[t]here would [otherwise] be every reason to expect the </w:t>
      </w:r>
      <w:r>
        <w:rPr>
          <w:rFonts w:ascii="Times New Roman" w:hAnsi="Times New Roman"/>
          <w:i/>
          <w:color w:val="1f1f1f"/>
          <w:sz w:val="20"/>
        </w:rPr>
        <w:t>same parties</w:t>
      </w:r>
      <w:r>
        <w:rPr>
          <w:rFonts w:ascii="Times New Roman" w:hAnsi="Times New Roman"/>
          <w:color w:val="1f1f1f"/>
          <w:sz w:val="20"/>
        </w:rPr>
        <w:t xml:space="preserve"> to generate a similar, future controversy.” </w:t>
      </w:r>
      <w:hyperlink r:id="r154">
        <w:r>
          <w:rPr>
            <w:rFonts w:ascii="Times New Roman" w:hAnsi="Times New Roman"/>
            <w:color w:val="006fc4"/>
            <w:sz w:val="20"/>
          </w:rPr>
          <w:t>502 U.S. at 288, 112 S.Ct. 698</w:t>
        </w:r>
      </w:hyperlink>
      <w:r>
        <w:rPr>
          <w:rFonts w:ascii="Times New Roman" w:hAnsi="Times New Roman"/>
          <w:color w:val="1f1f1f"/>
          <w:sz w:val="20"/>
        </w:rPr>
        <w:t xml:space="preserve"> (emphasis added). And in </w:t>
      </w:r>
      <w:hyperlink r:id="r155">
        <w:r>
          <w:rPr>
            <w:rFonts w:ascii="Times New Roman" w:hAnsi="Times New Roman"/>
            <w:i/>
            <w:color w:val="006fc4"/>
            <w:sz w:val="20"/>
          </w:rPr>
          <w:t>Press-Enterprise Co. v. Superior Court</w:t>
        </w:r>
      </w:hyperlink>
      <w:r>
        <w:rPr>
          <w:rFonts w:ascii="Times New Roman" w:hAnsi="Times New Roman"/>
          <w:color w:val="1f1f1f"/>
          <w:sz w:val="20"/>
        </w:rPr>
        <w:t>, the Supreme Court applied the exception because the “</w:t>
      </w:r>
      <w:r>
        <w:rPr>
          <w:rFonts w:ascii="Times New Roman" w:hAnsi="Times New Roman"/>
          <w:i/>
          <w:color w:val="1f1f1f"/>
          <w:sz w:val="20"/>
        </w:rPr>
        <w:t>petitioner</w:t>
      </w:r>
      <w:r>
        <w:rPr>
          <w:rFonts w:ascii="Times New Roman" w:hAnsi="Times New Roman"/>
          <w:color w:val="1f1f1f"/>
          <w:sz w:val="20"/>
        </w:rPr>
        <w:t xml:space="preserve"> [might] be subjected to a similar ... order” again in the future. </w:t>
      </w:r>
      <w:hyperlink r:id="r156">
        <w:r>
          <w:rPr>
            <w:rFonts w:ascii="Times New Roman" w:hAnsi="Times New Roman"/>
            <w:color w:val="006fc4"/>
            <w:sz w:val="20"/>
          </w:rPr>
          <w:t>478 U.S. at 6, 106 S.Ct. 2735</w:t>
        </w:r>
      </w:hyperlink>
      <w:r>
        <w:rPr>
          <w:rFonts w:ascii="Times New Roman" w:hAnsi="Times New Roman"/>
          <w:color w:val="1f1f1f"/>
          <w:sz w:val="20"/>
        </w:rPr>
        <w:t xml:space="preserve"> (emphasis added). None of Ms. Marks's cases imply that plaintiffs can invoke the exception if they face little chance of encountering the same conduct in the future.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02051884015_1">
        <w:r>
          <w:rPr>
            <w:rFonts w:ascii="Times New Roman" w:hAnsi="Times New Roman"/>
            <w:b/>
            <w:color w:val="252525"/>
            <w:sz w:val="20"/>
            <w:bdr w:val="none" w:space="2"/>
            <w:vertAlign w:val="superscript"/>
          </w:rPr>
          <w:t>[10]</w:t>
        </w:r>
      </w:hyperlink>
      <w:r>
        <w:rPr>
          <w:rFonts w:ascii="Times New Roman" w:hAnsi="Times New Roman"/>
          <w:color w:val="1f1f1f"/>
          <w:sz w:val="20"/>
        </w:rPr>
        <w:t xml:space="preserve">Ms. Marks also argues that even though she's unlikely to be regressed again, the case is not moot because the defendants’ wrongful policies would continue harming other inmates in community corrections programs. But the mootness exception is not triggered by future risks to others. </w:t>
      </w:r>
      <w:hyperlink r:id="r157">
        <w:r>
          <w:rPr>
            <w:rFonts w:ascii="Times New Roman" w:hAnsi="Times New Roman"/>
            <w:i/>
            <w:color w:val="006fc4"/>
            <w:sz w:val="20"/>
          </w:rPr>
          <w:t>Weinstein v. Bradford</w:t>
        </w:r>
        <w:r>
          <w:rPr>
            <w:rFonts w:ascii="Times New Roman" w:hAnsi="Times New Roman"/>
            <w:color w:val="006fc4"/>
            <w:sz w:val="20"/>
          </w:rPr>
          <w:t>, 423 U.S. 147, 149, 96 S.Ct. 347, 46 L.Ed.2d 350 (1975)</w:t>
        </w:r>
      </w:hyperlink>
      <w:r>
        <w:rPr>
          <w:rFonts w:ascii="Times New Roman" w:hAnsi="Times New Roman"/>
          <w:color w:val="1f1f1f"/>
          <w:sz w:val="20"/>
        </w:rPr>
        <w:t xml:space="preserve"> (per curiam).</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Again, none of Ms. Marks's cases support her proposition. Ms. Marks relies in part on </w:t>
      </w:r>
      <w:hyperlink r:id="r158">
        <w:r>
          <w:rPr>
            <w:rFonts w:ascii="Times New Roman" w:hAnsi="Times New Roman"/>
            <w:i/>
            <w:color w:val="006fc4"/>
            <w:sz w:val="20"/>
          </w:rPr>
          <w:t>United States v. Howard</w:t>
        </w:r>
        <w:r>
          <w:rPr>
            <w:rFonts w:ascii="Times New Roman" w:hAnsi="Times New Roman"/>
            <w:color w:val="006fc4"/>
            <w:sz w:val="20"/>
          </w:rPr>
          <w:t>, 429 F.3d 843, 848 (9th Cir. 2005)</w:t>
        </w:r>
      </w:hyperlink>
      <w:r>
        <w:rPr>
          <w:rFonts w:ascii="Times New Roman" w:hAnsi="Times New Roman"/>
          <w:color w:val="1f1f1f"/>
          <w:sz w:val="20"/>
        </w:rPr>
        <w:t xml:space="preserve">, but she disregards </w:t>
      </w:r>
      <w:hyperlink r:id="r159">
        <w:r>
          <w:rPr>
            <w:rFonts w:ascii="Times New Roman" w:hAnsi="Times New Roman"/>
            <w:i/>
            <w:color w:val="006fc4"/>
            <w:sz w:val="20"/>
          </w:rPr>
          <w:t>Howard</w:t>
        </w:r>
      </w:hyperlink>
      <w:r>
        <w:rPr>
          <w:rFonts w:ascii="Times New Roman" w:hAnsi="Times New Roman"/>
          <w:color w:val="1f1f1f"/>
          <w:sz w:val="20"/>
        </w:rPr>
        <w:t xml:space="preserve">’s subsequent history. </w:t>
      </w:r>
      <w:hyperlink r:id="r160">
        <w:r>
          <w:rPr>
            <w:rFonts w:ascii="Times New Roman" w:hAnsi="Times New Roman"/>
            <w:i/>
            <w:color w:val="006fc4"/>
            <w:sz w:val="20"/>
          </w:rPr>
          <w:t>Howard</w:t>
        </w:r>
      </w:hyperlink>
      <w:r>
        <w:rPr>
          <w:rFonts w:ascii="Times New Roman" w:hAnsi="Times New Roman"/>
          <w:color w:val="1f1f1f"/>
          <w:sz w:val="20"/>
        </w:rPr>
        <w:t xml:space="preserve"> was withdrawn and superseded on rehearing by </w:t>
      </w:r>
      <w:hyperlink r:id="r161">
        <w:r>
          <w:rPr>
            <w:rFonts w:ascii="Times New Roman" w:hAnsi="Times New Roman"/>
            <w:i/>
            <w:color w:val="006fc4"/>
            <w:sz w:val="20"/>
          </w:rPr>
          <w:t>United States v. Howard</w:t>
        </w:r>
        <w:r>
          <w:rPr>
            <w:rFonts w:ascii="Times New Roman" w:hAnsi="Times New Roman"/>
            <w:color w:val="006fc4"/>
            <w:sz w:val="20"/>
          </w:rPr>
          <w:t>, 463 F.3d 999 (9th Cir. 2006)</w:t>
        </w:r>
      </w:hyperlink>
      <w:r>
        <w:rPr>
          <w:rFonts w:ascii="Times New Roman" w:hAnsi="Times New Roman"/>
          <w:color w:val="1f1f1f"/>
          <w:sz w:val="20"/>
        </w:rPr>
        <w:t xml:space="preserve">. The new opinion was also withdrawn. </w:t>
      </w:r>
      <w:hyperlink r:id="r162">
        <w:r>
          <w:rPr>
            <w:rFonts w:ascii="Times New Roman" w:hAnsi="Times New Roman"/>
            <w:i/>
            <w:color w:val="006fc4"/>
            <w:sz w:val="20"/>
          </w:rPr>
          <w:t>United States v. Howard</w:t>
        </w:r>
        <w:r>
          <w:rPr>
            <w:rFonts w:ascii="Times New Roman" w:hAnsi="Times New Roman"/>
            <w:color w:val="006fc4"/>
            <w:sz w:val="20"/>
          </w:rPr>
          <w:t>, 480 F.3d 1180 (9th Cir. 2007)</w:t>
        </w:r>
      </w:hyperlink>
      <w:r>
        <w:rPr>
          <w:rFonts w:ascii="Times New Roman" w:hAnsi="Times New Roman"/>
          <w:color w:val="1f1f1f"/>
          <w:sz w:val="20"/>
        </w:rPr>
        <w:t xml:space="preserve"> (mem.). We decline to follow another circuit court's opinion that was withdrawn.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Ms. Marks also relies on </w:t>
      </w:r>
      <w:hyperlink r:id="r163">
        <w:r>
          <w:rPr>
            <w:rFonts w:ascii="Times New Roman" w:hAnsi="Times New Roman"/>
            <w:i/>
            <w:color w:val="006fc4"/>
            <w:sz w:val="20"/>
          </w:rPr>
          <w:t>Del Monte Fresh Produce Co. v. United States</w:t>
        </w:r>
        <w:r>
          <w:rPr>
            <w:rFonts w:ascii="Times New Roman" w:hAnsi="Times New Roman"/>
            <w:color w:val="006fc4"/>
            <w:sz w:val="20"/>
          </w:rPr>
          <w:t>, 570 F.3d 316 (D.C. Cir. 2009)</w:t>
        </w:r>
      </w:hyperlink>
      <w:r>
        <w:rPr>
          <w:rFonts w:ascii="Times New Roman" w:hAnsi="Times New Roman"/>
          <w:color w:val="1f1f1f"/>
          <w:sz w:val="20"/>
        </w:rPr>
        <w:t xml:space="preserve">. There the D.C. Circuit concluded that the claims did not become moot because the same plaintiff would likely encounter the same conduct in the future. </w:t>
      </w:r>
      <w:hyperlink r:id="r164">
        <w:r>
          <w:rPr>
            <w:rFonts w:ascii="Times New Roman" w:hAnsi="Times New Roman"/>
            <w:color w:val="006fc4"/>
            <w:sz w:val="20"/>
          </w:rPr>
          <w:t>570 F.3d at 324–25</w:t>
        </w:r>
      </w:hyperlink>
      <w:r>
        <w:rPr>
          <w:rFonts w:ascii="Times New Roman" w:hAnsi="Times New Roman"/>
          <w:color w:val="1f1f1f"/>
          <w:sz w:val="20"/>
        </w:rPr>
        <w:t xml:space="preserve">. </w:t>
      </w:r>
      <w:hyperlink r:id="r165">
        <w:r>
          <w:rPr>
            <w:rFonts w:ascii="Times New Roman" w:hAnsi="Times New Roman"/>
            <w:i/>
            <w:color w:val="006fc4"/>
            <w:sz w:val="20"/>
          </w:rPr>
          <w:t>Del Monte Fresh</w:t>
        </w:r>
      </w:hyperlink>
      <w:r>
        <w:rPr>
          <w:rFonts w:ascii="Times New Roman" w:hAnsi="Times New Roman"/>
          <w:color w:val="1f1f1f"/>
          <w:sz w:val="20"/>
        </w:rPr>
        <w:t xml:space="preserve"> does not suggest that the mootness exception applies whenever the same conduct could injure others.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68" w:name="co_pp_sp_506_1095_1"/>
      <w:r>
        <w:rPr>
          <w:rFonts w:ascii="Times New Roman" w:hAnsi="Times New Roman"/>
          <w:b/>
          <w:color w:val="000000"/>
          <w:sz w:val="20"/>
        </w:rPr>
        <w:t>*1095</w:t>
      </w:r>
      <w:bookmarkEnd w:id="168"/>
      <w:r>
        <w:rPr>
          <w:rFonts w:ascii="Times New Roman" w:hAnsi="Times New Roman"/>
          <w:color w:val="1f1f1f"/>
          <w:sz w:val="20"/>
        </w:rPr>
        <w:t xml:space="preserve"> Other circuits aside, our cases prevent us from applying the mootness exception based on a risk to others. </w:t>
      </w:r>
      <w:r>
        <w:rPr>
          <w:rFonts w:ascii="Times New Roman" w:hAnsi="Times New Roman"/>
          <w:i/>
          <w:color w:val="1f1f1f"/>
          <w:sz w:val="20"/>
        </w:rPr>
        <w:t>See, e.g.</w:t>
      </w:r>
      <w:r>
        <w:rPr>
          <w:rFonts w:ascii="Times New Roman" w:hAnsi="Times New Roman"/>
          <w:color w:val="1f1f1f"/>
          <w:sz w:val="20"/>
        </w:rPr>
        <w:t xml:space="preserve">, </w:t>
      </w:r>
      <w:hyperlink r:id="r166">
        <w:r>
          <w:rPr>
            <w:rFonts w:ascii="Times New Roman" w:hAnsi="Times New Roman"/>
            <w:i/>
            <w:color w:val="006fc4"/>
            <w:sz w:val="20"/>
          </w:rPr>
          <w:t>White v. Colorado</w:t>
        </w:r>
        <w:r>
          <w:rPr>
            <w:rFonts w:ascii="Times New Roman" w:hAnsi="Times New Roman"/>
            <w:color w:val="006fc4"/>
            <w:sz w:val="20"/>
          </w:rPr>
          <w:t>, 82 F.3d 364, 366 (10th Cir. 1996)</w:t>
        </w:r>
      </w:hyperlink>
      <w:r>
        <w:rPr>
          <w:rFonts w:ascii="Times New Roman" w:hAnsi="Times New Roman"/>
          <w:color w:val="1f1f1f"/>
          <w:sz w:val="20"/>
        </w:rPr>
        <w:t xml:space="preserve"> (holding that claims for prospective injunctive relief became moot when the inmate plaintiff obtained parole). Given these cases, we conclude that the claims for prospective relief became moot upon Ms. Marks's completion of her sentence.</w:t>
      </w:r>
    </w:p>
    <w:p>
      <w:pPr>
        <w:spacing w:before="0" w:after="0" w:line="275" w:lineRule="atLeast"/>
        <w:jc w:val="both"/>
      </w:pPr>
      <w:r>
        <w:rPr>
          <w:rFonts w:ascii="Times New Roman" w:hAnsi="Times New Roman"/>
          <w:color w:val="1f1f1f"/>
          <w:sz w:val="20"/>
        </w:rPr>
        <w:t> </w:t>
      </w:r>
    </w:p>
    <w:bookmarkStart w:id="169" w:name="co_anchor_Iebd34e91483311eebf22c578e276"/>
    <w:bookmarkStart w:id="170" w:name="co_anchor_Iebd34e91483311eebf22c578e2"/>
    <w:p>
      <w:pPr>
        <w:spacing w:before="400" w:after="0" w:line="275" w:lineRule="atLeast"/>
      </w:pPr>
      <w:r>
        <w:rPr>
          <w:rFonts w:ascii="Times New Roman" w:hAnsi="Times New Roman"/>
          <w:b/>
          <w:color w:val="1f1f1f"/>
          <w:sz w:val="20"/>
        </w:rPr>
        <w:t>4. Correctness of the Summary-Judgment Rulings</w:t>
      </w:r>
    </w:p>
    <w:bookmarkEnd w:id="170"/>
    <w:bookmarkEnd w:id="169"/>
    <w:p>
      <w:pPr>
        <w:spacing w:before="0" w:after="0" w:line="275" w:lineRule="atLeast"/>
        <w:jc w:val="both"/>
      </w:pPr>
      <w:r>
        <w:rPr>
          <w:rFonts w:ascii="Times New Roman" w:hAnsi="Times New Roman"/>
          <w:color w:val="1f1f1f"/>
          <w:sz w:val="20"/>
        </w:rPr>
        <w:t>On summary judgment, the district court ruled that</w:t>
      </w:r>
    </w:p>
    <w:p>
      <w:pPr>
        <w:spacing w:before="200" w:after="0" w:line="275" w:lineRule="atLeast"/>
        <w:ind w:left="400" w:right="0" w:hanging="200"/>
        <w:jc w:val="both"/>
      </w:pPr>
      <w:r>
        <w:rPr>
          <w:rFonts w:ascii="Times New Roman" w:hAnsi="Times New Roman"/>
          <w:color w:val="1f1f1f"/>
          <w:sz w:val="20"/>
        </w:rPr>
        <w:t>• the Rehabilitation Act didn't apply because Intervention hadn't received federal funding,</w:t>
      </w:r>
    </w:p>
    <w:p>
      <w:pPr>
        <w:spacing w:before="200" w:after="0" w:line="275" w:lineRule="atLeast"/>
        <w:ind w:left="400" w:right="0" w:hanging="200"/>
        <w:jc w:val="both"/>
      </w:pPr>
      <w:r>
        <w:rPr>
          <w:rFonts w:ascii="Times New Roman" w:hAnsi="Times New Roman"/>
          <w:color w:val="1f1f1f"/>
          <w:sz w:val="20"/>
        </w:rPr>
        <w:t>• the CDOC and CDCJ couldn't incur liability under the Americans with Disabilities Act or Rehabilitation Act for Intervention's decision to regress Ms. Marks, and</w:t>
      </w:r>
    </w:p>
    <w:p>
      <w:pPr>
        <w:spacing w:before="200" w:after="0" w:line="275" w:lineRule="atLeast"/>
        <w:ind w:left="400" w:right="0" w:hanging="200"/>
        <w:jc w:val="both"/>
      </w:pPr>
      <w:r>
        <w:rPr>
          <w:rFonts w:ascii="Times New Roman" w:hAnsi="Times New Roman"/>
          <w:color w:val="1f1f1f"/>
          <w:sz w:val="20"/>
        </w:rPr>
        <w:t>• the equal-protection claim failed because Ms. Marks had not shown the absence of a rational basis to treat her differently than non-disabled inmates.</w:t>
      </w:r>
    </w:p>
    <w:p>
      <w:pPr>
        <w:spacing w:before="0" w:after="0" w:line="275" w:lineRule="atLeast"/>
        <w:jc w:val="both"/>
      </w:pPr>
      <w:r>
        <w:rPr>
          <w:rFonts w:ascii="Times New Roman" w:hAnsi="Times New Roman"/>
          <w:color w:val="1f1f1f"/>
          <w:sz w:val="20"/>
        </w:rPr>
        <w:t> </w:t>
      </w:r>
    </w:p>
    <w:bookmarkStart w:id="171" w:name="co_anchor_Iebd411e1483311eebf22c578e276"/>
    <w:bookmarkStart w:id="172" w:name="co_anchor_Iebd411e1483311eebf22c578e2"/>
    <w:p>
      <w:pPr>
        <w:pBdr>
          <w:left w:val="none" w:space="10"/>
        </w:pBdr>
        <w:spacing w:before="400" w:after="0" w:line="275" w:lineRule="atLeast"/>
        <w:ind w:left="200" w:right="0" w:firstLine="0"/>
      </w:pPr>
      <w:r>
        <w:rPr>
          <w:rFonts w:ascii="Times New Roman" w:hAnsi="Times New Roman"/>
          <w:b/>
          <w:color w:val="1f1f1f"/>
          <w:sz w:val="20"/>
        </w:rPr>
        <w:t>A. Standard of Review</w:t>
      </w:r>
    </w:p>
    <w:bookmarkEnd w:id="172"/>
    <w:bookmarkEnd w:id="171"/>
    <w:p>
      <w:pPr>
        <w:spacing w:before="0" w:after="0" w:line="275" w:lineRule="atLeast"/>
        <w:jc w:val="both"/>
      </w:pPr>
      <w:hyperlink w:anchor="co_hn_anchor_F112051884015_1">
        <w:r>
          <w:rPr>
            <w:rFonts w:ascii="Times New Roman" w:hAnsi="Times New Roman"/>
            <w:b/>
            <w:color w:val="252525"/>
            <w:sz w:val="20"/>
            <w:bdr w:val="none" w:space="2"/>
            <w:vertAlign w:val="superscript"/>
          </w:rPr>
          <w:t>[11]</w:t>
        </w:r>
      </w:hyperlink>
      <w:r>
        <w:rPr>
          <w:rFonts w:ascii="Times New Roman" w:hAnsi="Times New Roman"/>
          <w:color w:val="1f1f1f"/>
          <w:sz w:val="20"/>
        </w:rPr>
        <w:t xml:space="preserve">For these rulings, we conduct de novo review, drawing all reasonable inferences favorably to Ms. Marks. </w:t>
      </w:r>
      <w:r>
        <w:rPr>
          <w:rFonts w:ascii="Times New Roman" w:hAnsi="Times New Roman"/>
          <w:i/>
          <w:color w:val="1f1f1f"/>
          <w:sz w:val="20"/>
        </w:rPr>
        <w:t xml:space="preserve">See </w:t>
      </w:r>
      <w:hyperlink r:id="r167">
        <w:r>
          <w:rPr>
            <w:rFonts w:ascii="Times New Roman" w:hAnsi="Times New Roman"/>
            <w:i/>
            <w:color w:val="006fc4"/>
            <w:sz w:val="20"/>
          </w:rPr>
          <w:t>May v. Segovia</w:t>
        </w:r>
        <w:r>
          <w:rPr>
            <w:rFonts w:ascii="Times New Roman" w:hAnsi="Times New Roman"/>
            <w:color w:val="006fc4"/>
            <w:sz w:val="20"/>
          </w:rPr>
          <w:t>, 929 F.3d 1223, 1234 (10th Cir. 2019)</w:t>
        </w:r>
      </w:hyperlink>
      <w:r>
        <w:rPr>
          <w:rFonts w:ascii="Times New Roman" w:hAnsi="Times New Roman"/>
          <w:color w:val="1f1f1f"/>
          <w:sz w:val="20"/>
        </w:rPr>
        <w:t xml:space="preserve"> (de novo review); </w:t>
      </w:r>
      <w:hyperlink r:id="r168">
        <w:r>
          <w:rPr>
            <w:rFonts w:ascii="Times New Roman" w:hAnsi="Times New Roman"/>
            <w:i/>
            <w:color w:val="006fc4"/>
            <w:sz w:val="20"/>
          </w:rPr>
          <w:t>Murphy v. City of Tulsa</w:t>
        </w:r>
        <w:r>
          <w:rPr>
            <w:rFonts w:ascii="Times New Roman" w:hAnsi="Times New Roman"/>
            <w:color w:val="006fc4"/>
            <w:sz w:val="20"/>
          </w:rPr>
          <w:t>, 950 F.3d 641, 643 (10th Cir. 2019)</w:t>
        </w:r>
      </w:hyperlink>
      <w:r>
        <w:rPr>
          <w:rFonts w:ascii="Times New Roman" w:hAnsi="Times New Roman"/>
          <w:color w:val="1f1f1f"/>
          <w:sz w:val="20"/>
        </w:rPr>
        <w:t xml:space="preserve"> (draw reasonable inferences favorably to non-movant). With these inferences, we consider whether the CDOC and CDCJ have shown the absence of a genuine dispute of material fact and their entitlement to judgment as a matter of law. </w:t>
      </w:r>
      <w:hyperlink r:id="r169">
        <w:r>
          <w:rPr>
            <w:rFonts w:ascii="Times New Roman" w:hAnsi="Times New Roman"/>
            <w:color w:val="006fc4"/>
            <w:sz w:val="20"/>
          </w:rPr>
          <w:t>Fed. R. Civ. P. 56(a)</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73" w:name="co_anchor_Iebd4d531483311eebf22c578e276"/>
    <w:bookmarkStart w:id="174" w:name="co_anchor_Iebd4d531483311eebf22c578e2"/>
    <w:p>
      <w:pPr>
        <w:pBdr>
          <w:left w:val="none" w:space="10"/>
        </w:pBdr>
        <w:spacing w:before="400" w:after="0" w:line="275" w:lineRule="atLeast"/>
        <w:ind w:left="200" w:right="0" w:firstLine="0"/>
      </w:pPr>
      <w:r>
        <w:rPr>
          <w:rFonts w:ascii="Times New Roman" w:hAnsi="Times New Roman"/>
          <w:b/>
          <w:color w:val="1f1f1f"/>
          <w:sz w:val="20"/>
        </w:rPr>
        <w:t>B. The Applicability of the Rehabilitation Act</w:t>
      </w:r>
    </w:p>
    <w:bookmarkEnd w:id="174"/>
    <w:bookmarkEnd w:id="173"/>
    <w:p>
      <w:pPr>
        <w:spacing w:before="0" w:after="0" w:line="275" w:lineRule="atLeast"/>
        <w:jc w:val="both"/>
      </w:pPr>
      <w:r>
        <w:rPr>
          <w:rFonts w:ascii="Times New Roman" w:hAnsi="Times New Roman"/>
          <w:color w:val="1f1f1f"/>
          <w:sz w:val="20"/>
        </w:rPr>
        <w:t>The district court rejected Ms. Marks's claim under the Rehabilitation Act in part because Intervention had not received federal funds. We disagree with this ruling because the district court should have focused on whether the CDOC and CDCJ (not Intervention) had received federal funds.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22051884015_1">
        <w:r>
          <w:rPr>
            <w:rFonts w:ascii="Times New Roman" w:hAnsi="Times New Roman"/>
            <w:b/>
            <w:color w:val="252525"/>
            <w:sz w:val="20"/>
            <w:bdr w:val="none" w:space="2"/>
            <w:vertAlign w:val="superscript"/>
          </w:rPr>
          <w:t>[12]</w:t>
        </w:r>
      </w:hyperlink>
      <w:r>
        <w:rPr>
          <w:rFonts w:ascii="Times New Roman" w:hAnsi="Times New Roman"/>
          <w:color w:val="1f1f1f"/>
          <w:sz w:val="20"/>
        </w:rPr>
        <w:t xml:space="preserve">The Rehabilitation Act applies only if the defendant received federal funds. </w:t>
      </w:r>
      <w:hyperlink r:id="r170">
        <w:r>
          <w:rPr>
            <w:rFonts w:ascii="Times New Roman" w:hAnsi="Times New Roman"/>
            <w:color w:val="006fc4"/>
            <w:sz w:val="20"/>
          </w:rPr>
          <w:t>29 U.S.C. § 794(a) (2012)</w:t>
        </w:r>
      </w:hyperlink>
      <w:r>
        <w:rPr>
          <w:rFonts w:ascii="Times New Roman" w:hAnsi="Times New Roman"/>
          <w:color w:val="1f1f1f"/>
          <w:sz w:val="20"/>
        </w:rPr>
        <w:t>;</w:t>
      </w:r>
      <w:bookmarkStart w:id="175" w:name="co_fnRef_B00052051884015_ID0EH4AI_1"/>
      <w:hyperlink w:anchor="co_footnote_B00052051884015_1">
        <w:r>
          <w:rPr>
            <w:rFonts w:ascii="Times New Roman" w:hAnsi="Times New Roman"/>
            <w:color w:val="006fc4"/>
            <w:sz w:val="16"/>
            <w:vertAlign w:val="superscript"/>
          </w:rPr>
          <w:t>4</w:t>
        </w:r>
      </w:hyperlink>
      <w:bookmarkEnd w:id="175"/>
      <w:r>
        <w:rPr>
          <w:rFonts w:ascii="Times New Roman" w:hAnsi="Times New Roman"/>
          <w:color w:val="1f1f1f"/>
          <w:sz w:val="20"/>
        </w:rPr>
        <w:t xml:space="preserve"> </w:t>
      </w:r>
      <w:r>
        <w:rPr>
          <w:rFonts w:ascii="Times New Roman" w:hAnsi="Times New Roman"/>
          <w:i/>
          <w:color w:val="1f1f1f"/>
          <w:sz w:val="20"/>
        </w:rPr>
        <w:t xml:space="preserve">see </w:t>
      </w:r>
      <w:hyperlink r:id="r171">
        <w:r>
          <w:rPr>
            <w:rFonts w:ascii="Times New Roman" w:hAnsi="Times New Roman"/>
            <w:i/>
            <w:color w:val="006fc4"/>
            <w:sz w:val="20"/>
          </w:rPr>
          <w:t>Barnes v. Gorman</w:t>
        </w:r>
        <w:r>
          <w:rPr>
            <w:rFonts w:ascii="Times New Roman" w:hAnsi="Times New Roman"/>
            <w:color w:val="006fc4"/>
            <w:sz w:val="20"/>
          </w:rPr>
          <w:t>, 536 U.S. 181, 184–85, 122 S.Ct. 2097, 153 L.Ed.2d 230 (2002)</w:t>
        </w:r>
      </w:hyperlink>
      <w:r>
        <w:rPr>
          <w:rFonts w:ascii="Times New Roman" w:hAnsi="Times New Roman"/>
          <w:color w:val="1f1f1f"/>
          <w:sz w:val="20"/>
        </w:rPr>
        <w:t xml:space="preserve"> (stating that “§ 504 of the Rehabilitation Act prohibits discrimination against the disabled by recipients of federal funding, including private organizations”).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district court, the parties agreed that the CDOC and CDCJ had received federal funding. The district court nonetheless concluded sua sponte that the Rehabilitation Act didn't apply because Intervention hadn't received federal funds.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32051884015_1">
        <w:r>
          <w:rPr>
            <w:rFonts w:ascii="Times New Roman" w:hAnsi="Times New Roman"/>
            <w:b/>
            <w:color w:val="252525"/>
            <w:sz w:val="20"/>
            <w:bdr w:val="none" w:space="2"/>
            <w:vertAlign w:val="superscript"/>
          </w:rPr>
          <w:t>[13]</w:t>
        </w:r>
      </w:hyperlink>
      <w:r>
        <w:rPr>
          <w:rFonts w:ascii="Times New Roman" w:hAnsi="Times New Roman"/>
          <w:color w:val="1f1f1f"/>
          <w:sz w:val="20"/>
        </w:rPr>
        <w:t>Ms. Marks challenges this ruling, arguing that</w:t>
      </w:r>
    </w:p>
    <w:p>
      <w:pPr>
        <w:spacing w:before="200" w:after="0" w:line="275" w:lineRule="atLeast"/>
        <w:ind w:left="400" w:right="0" w:hanging="200"/>
        <w:jc w:val="both"/>
      </w:pPr>
      <w:r>
        <w:rPr>
          <w:rFonts w:ascii="Times New Roman" w:hAnsi="Times New Roman"/>
          <w:color w:val="1f1f1f"/>
          <w:sz w:val="20"/>
        </w:rPr>
        <w:t>• the district court should have focused on whether the CDOC and CDCJ had received federal funds,</w:t>
      </w:r>
    </w:p>
    <w:p>
      <w:pPr>
        <w:spacing w:before="200" w:after="0" w:line="275" w:lineRule="atLeast"/>
        <w:ind w:left="400" w:right="0" w:hanging="200"/>
        <w:jc w:val="both"/>
      </w:pPr>
      <w:r>
        <w:rPr>
          <w:rFonts w:ascii="Times New Roman" w:hAnsi="Times New Roman"/>
          <w:color w:val="1f1f1f"/>
          <w:sz w:val="20"/>
        </w:rPr>
        <w:t>• the CDOC and CDCJ were subject to the Rehabilitation Act regardless of whether the federal funds had been used for community corrections, and</w:t>
      </w:r>
    </w:p>
    <w:p>
      <w:pPr>
        <w:spacing w:before="200" w:after="0" w:line="275" w:lineRule="atLeast"/>
        <w:ind w:left="400" w:right="0" w:hanging="200"/>
        <w:jc w:val="both"/>
      </w:pPr>
      <w:r>
        <w:rPr>
          <w:rFonts w:ascii="Times New Roman" w:hAnsi="Times New Roman"/>
          <w:color w:val="1f1f1f"/>
          <w:sz w:val="20"/>
        </w:rPr>
        <w:t>• the CDOC and CDCJ admitted in district court that they had received federal funding.</w:t>
      </w:r>
    </w:p>
    <w:p>
      <w:pPr>
        <w:spacing w:before="200" w:after="0" w:line="275" w:lineRule="atLeast"/>
        <w:jc w:val="both"/>
      </w:pPr>
      <w:r>
        <w:rPr>
          <w:rFonts w:ascii="Times New Roman" w:hAnsi="Times New Roman"/>
          <w:color w:val="1f1f1f"/>
          <w:sz w:val="20"/>
        </w:rPr>
        <w:t xml:space="preserve">We agree with Ms. Marks. The district court should have considered whether the CDOC and CDCJ had received federal funds. The court had no reason to muddy </w:t>
      </w:r>
      <w:bookmarkStart w:id="176" w:name="co_pp_sp_506_1096_1"/>
      <w:r>
        <w:rPr>
          <w:rFonts w:ascii="Times New Roman" w:hAnsi="Times New Roman"/>
          <w:b/>
          <w:color w:val="000000"/>
          <w:sz w:val="20"/>
        </w:rPr>
        <w:t>*1096</w:t>
      </w:r>
      <w:bookmarkEnd w:id="176"/>
      <w:r>
        <w:rPr>
          <w:rFonts w:ascii="Times New Roman" w:hAnsi="Times New Roman"/>
          <w:color w:val="1f1f1f"/>
          <w:sz w:val="20"/>
        </w:rPr>
        <w:t xml:space="preserve"> application of the Rehabilitation Act to the CDOC and CDCJ by focusing on the lack of federal funding to a third party like Intervention. </w:t>
      </w:r>
      <w:r>
        <w:rPr>
          <w:rFonts w:ascii="Times New Roman" w:hAnsi="Times New Roman"/>
          <w:i/>
          <w:color w:val="1f1f1f"/>
          <w:sz w:val="20"/>
        </w:rPr>
        <w:t xml:space="preserve">See </w:t>
      </w:r>
      <w:hyperlink r:id="r172">
        <w:r>
          <w:rPr>
            <w:rFonts w:ascii="Times New Roman" w:hAnsi="Times New Roman"/>
            <w:i/>
            <w:color w:val="006fc4"/>
            <w:sz w:val="20"/>
          </w:rPr>
          <w:t>Henrietta D. v. Bloomberg</w:t>
        </w:r>
        <w:r>
          <w:rPr>
            <w:rFonts w:ascii="Times New Roman" w:hAnsi="Times New Roman"/>
            <w:color w:val="006fc4"/>
            <w:sz w:val="20"/>
          </w:rPr>
          <w:t>, 331 F.3d 261, 272 (2d Cir. 2003)</w:t>
        </w:r>
      </w:hyperlink>
      <w:r>
        <w:rPr>
          <w:rFonts w:ascii="Times New Roman" w:hAnsi="Times New Roman"/>
          <w:color w:val="1f1f1f"/>
          <w:sz w:val="20"/>
        </w:rPr>
        <w:t xml:space="preserve"> (observing that to establish a Rehabilitation Act violation, plaintiffs need only show “that </w:t>
      </w:r>
      <w:r>
        <w:rPr>
          <w:rFonts w:ascii="Times New Roman" w:hAnsi="Times New Roman"/>
          <w:i/>
          <w:color w:val="1f1f1f"/>
          <w:sz w:val="20"/>
        </w:rPr>
        <w:t>the defendants</w:t>
      </w:r>
      <w:r>
        <w:rPr>
          <w:rFonts w:ascii="Times New Roman" w:hAnsi="Times New Roman"/>
          <w:color w:val="1f1f1f"/>
          <w:sz w:val="20"/>
        </w:rPr>
        <w:t xml:space="preserve"> receive federal funding” (emphasis added)). Because the CDOC and CDCJ received federal funding, we conclude that the Rehabilitation Act applies.</w:t>
      </w:r>
    </w:p>
    <w:p>
      <w:pPr>
        <w:spacing w:before="0" w:after="0" w:line="275" w:lineRule="atLeast"/>
        <w:jc w:val="both"/>
      </w:pPr>
      <w:r>
        <w:rPr>
          <w:rFonts w:ascii="Times New Roman" w:hAnsi="Times New Roman"/>
          <w:color w:val="1f1f1f"/>
          <w:sz w:val="20"/>
        </w:rPr>
        <w:t> </w:t>
      </w:r>
    </w:p>
    <w:bookmarkStart w:id="177" w:name="co_anchor_Iebd79451483311eebf22c578e276"/>
    <w:bookmarkStart w:id="178" w:name="co_anchor_Iebd79451483311eebf22c578e2"/>
    <w:p>
      <w:pPr>
        <w:pBdr>
          <w:left w:val="none" w:space="10"/>
        </w:pBdr>
        <w:spacing w:before="400" w:after="0" w:line="275" w:lineRule="atLeast"/>
        <w:ind w:left="200" w:right="0" w:firstLine="0"/>
      </w:pPr>
      <w:r>
        <w:rPr>
          <w:rFonts w:ascii="Times New Roman" w:hAnsi="Times New Roman"/>
          <w:b/>
          <w:color w:val="1f1f1f"/>
          <w:sz w:val="20"/>
        </w:rPr>
        <w:t>C. Statutory Liability of the CDOC and CDCJ for Discrimination</w:t>
      </w:r>
    </w:p>
    <w:bookmarkEnd w:id="178"/>
    <w:bookmarkEnd w:id="177"/>
    <w:p>
      <w:pPr>
        <w:spacing w:before="0" w:after="0" w:line="275" w:lineRule="atLeast"/>
        <w:jc w:val="both"/>
      </w:pPr>
      <w:r>
        <w:rPr>
          <w:rFonts w:ascii="Times New Roman" w:hAnsi="Times New Roman"/>
          <w:color w:val="1f1f1f"/>
          <w:sz w:val="20"/>
        </w:rPr>
        <w:t>The district court also reasoned that (1) Intervention had unilaterally decided to regress Ms. Marks and (2) the CDOC and CDCJ could not unravel that decision. For these reasons, the district court concluded that the community corrections program could not be considered a program of the CDOC or CDCJ, preventing liability even if Ms. Marks could satisfy the elements of statutory liability. We disagree.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42051884015_1">
        <w:r>
          <w:rPr>
            <w:rFonts w:ascii="Times New Roman" w:hAnsi="Times New Roman"/>
            <w:b/>
            <w:color w:val="252525"/>
            <w:sz w:val="20"/>
            <w:bdr w:val="none" w:space="2"/>
            <w:vertAlign w:val="superscript"/>
          </w:rPr>
          <w:t>[14]</w:t>
        </w:r>
      </w:hyperlink>
      <w:r>
        <w:rPr>
          <w:rFonts w:ascii="Times New Roman" w:hAnsi="Times New Roman"/>
          <w:color w:val="1f1f1f"/>
          <w:sz w:val="20"/>
        </w:rPr>
        <w:t xml:space="preserve">Under the statutes, the CDOC and CDCJ could incur liability for disability discrimination in their own programs. </w:t>
      </w:r>
      <w:r>
        <w:rPr>
          <w:rFonts w:ascii="Times New Roman" w:hAnsi="Times New Roman"/>
          <w:i/>
          <w:color w:val="1f1f1f"/>
          <w:sz w:val="20"/>
        </w:rPr>
        <w:t>See</w:t>
      </w:r>
      <w:r>
        <w:rPr>
          <w:rFonts w:ascii="Times New Roman" w:hAnsi="Times New Roman"/>
          <w:color w:val="1f1f1f"/>
          <w:sz w:val="20"/>
        </w:rPr>
        <w:t xml:space="preserve"> </w:t>
      </w:r>
      <w:hyperlink r:id="r173">
        <w:r>
          <w:rPr>
            <w:rFonts w:ascii="Times New Roman" w:hAnsi="Times New Roman"/>
            <w:color w:val="006fc4"/>
            <w:sz w:val="20"/>
          </w:rPr>
          <w:t>42 U.S.C. § 12132 (2012)</w:t>
        </w:r>
      </w:hyperlink>
      <w:r>
        <w:rPr>
          <w:rFonts w:ascii="Times New Roman" w:hAnsi="Times New Roman"/>
          <w:color w:val="1f1f1f"/>
          <w:sz w:val="20"/>
        </w:rPr>
        <w:t xml:space="preserve"> (prohibiting discrimination against the disabled by a public entity); </w:t>
      </w:r>
      <w:hyperlink r:id="r174">
        <w:r>
          <w:rPr>
            <w:rFonts w:ascii="Times New Roman" w:hAnsi="Times New Roman"/>
            <w:color w:val="006fc4"/>
            <w:sz w:val="20"/>
          </w:rPr>
          <w:t>29 U.S.C. § 794(a) (2012)</w:t>
        </w:r>
      </w:hyperlink>
      <w:r>
        <w:rPr>
          <w:rFonts w:ascii="Times New Roman" w:hAnsi="Times New Roman"/>
          <w:color w:val="1f1f1f"/>
          <w:sz w:val="20"/>
        </w:rPr>
        <w:t xml:space="preserve"> (same for discrimination by entities receiving federal funding). The issue here is whether the community corrections program could be considered not only a program of Intervention but also a program of the CDOC and CDCJ. We answer “yes.”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52051884015_1">
        <w:r>
          <w:rPr>
            <w:rFonts w:ascii="Times New Roman" w:hAnsi="Times New Roman"/>
            <w:b/>
            <w:color w:val="252525"/>
            <w:sz w:val="20"/>
            <w:bdr w:val="none" w:space="2"/>
            <w:vertAlign w:val="superscript"/>
          </w:rPr>
          <w:t>[15]</w:t>
        </w:r>
      </w:hyperlink>
      <w:r>
        <w:rPr>
          <w:rFonts w:ascii="Times New Roman" w:hAnsi="Times New Roman"/>
          <w:color w:val="1f1f1f"/>
          <w:sz w:val="20"/>
        </w:rPr>
        <w:t xml:space="preserve">Ms. Marks was a state prisoner, and the Americans with Disabilities Act and Rehabilitation Act “unambiguously extend[ ] to state prison inmates.” </w:t>
      </w:r>
      <w:hyperlink r:id="r175">
        <w:r>
          <w:rPr>
            <w:rFonts w:ascii="Times New Roman" w:hAnsi="Times New Roman"/>
            <w:i/>
            <w:color w:val="006fc4"/>
            <w:sz w:val="20"/>
          </w:rPr>
          <w:t>Pa. Dep't of Corrs. v. Yeskey</w:t>
        </w:r>
        <w:r>
          <w:rPr>
            <w:rFonts w:ascii="Times New Roman" w:hAnsi="Times New Roman"/>
            <w:color w:val="006fc4"/>
            <w:sz w:val="20"/>
          </w:rPr>
          <w:t>, 524 U.S. 206, 213, 118 S.Ct. 1952, 141 L.Ed.2d 215 (1998)</w:t>
        </w:r>
      </w:hyperlink>
      <w:r>
        <w:rPr>
          <w:rFonts w:ascii="Times New Roman" w:hAnsi="Times New Roman"/>
          <w:color w:val="1f1f1f"/>
          <w:sz w:val="20"/>
        </w:rPr>
        <w:t xml:space="preserve"> (discussing the Americans with Disabilities Act); </w:t>
      </w:r>
      <w:r>
        <w:rPr>
          <w:rFonts w:ascii="Times New Roman" w:hAnsi="Times New Roman"/>
          <w:i/>
          <w:color w:val="1f1f1f"/>
          <w:sz w:val="20"/>
        </w:rPr>
        <w:t xml:space="preserve">see also </w:t>
      </w:r>
      <w:hyperlink r:id="r176">
        <w:r>
          <w:rPr>
            <w:rFonts w:ascii="Times New Roman" w:hAnsi="Times New Roman"/>
            <w:i/>
            <w:color w:val="006fc4"/>
            <w:sz w:val="20"/>
          </w:rPr>
          <w:t>Wright v. N.Y. State Dep't of Corrs.</w:t>
        </w:r>
        <w:r>
          <w:rPr>
            <w:rFonts w:ascii="Times New Roman" w:hAnsi="Times New Roman"/>
            <w:color w:val="006fc4"/>
            <w:sz w:val="20"/>
          </w:rPr>
          <w:t>, 831 F.3d 64, 72 (2d Cir. 2016)</w:t>
        </w:r>
      </w:hyperlink>
      <w:r>
        <w:rPr>
          <w:rFonts w:ascii="Times New Roman" w:hAnsi="Times New Roman"/>
          <w:color w:val="1f1f1f"/>
          <w:sz w:val="20"/>
        </w:rPr>
        <w:t xml:space="preserve"> (“Both the [Americans with Disabilities Act] and the [Rehabilitation Act] undoubtedly apply to state prisons and their prisoners.”). The CDOC and CDCJ thus could not discriminate against disabled prisoners participating in the state's community corrections program. </w:t>
      </w:r>
      <w:r>
        <w:rPr>
          <w:rFonts w:ascii="Times New Roman" w:hAnsi="Times New Roman"/>
          <w:i/>
          <w:color w:val="1f1f1f"/>
          <w:sz w:val="20"/>
        </w:rPr>
        <w:t xml:space="preserve">See </w:t>
      </w:r>
      <w:hyperlink r:id="r177">
        <w:r>
          <w:rPr>
            <w:rFonts w:ascii="Times New Roman" w:hAnsi="Times New Roman"/>
            <w:i/>
            <w:color w:val="006fc4"/>
            <w:sz w:val="20"/>
          </w:rPr>
          <w:t>Castle v. Eurofresh</w:t>
        </w:r>
        <w:r>
          <w:rPr>
            <w:rFonts w:ascii="Times New Roman" w:hAnsi="Times New Roman"/>
            <w:color w:val="006fc4"/>
            <w:sz w:val="20"/>
          </w:rPr>
          <w:t>, 731 F.3d 901, 909 (9th Cir. 2013)</w:t>
        </w:r>
      </w:hyperlink>
      <w:r>
        <w:rPr>
          <w:rFonts w:ascii="Times New Roman" w:hAnsi="Times New Roman"/>
          <w:color w:val="1f1f1f"/>
          <w:sz w:val="20"/>
        </w:rPr>
        <w:t xml:space="preserve"> (holding that state agencies could incur liability under the Americans with Disabilities Act and Rehabilitation Act when a subcontractor had committed discrimination against disabled prisoners in a program for paid labor and vocational training); </w:t>
      </w:r>
      <w:hyperlink r:id="r178">
        <w:r>
          <w:rPr>
            <w:rFonts w:ascii="Times New Roman" w:hAnsi="Times New Roman"/>
            <w:i/>
            <w:color w:val="006fc4"/>
            <w:sz w:val="20"/>
          </w:rPr>
          <w:t>Henrietta D. v. Bloomberg</w:t>
        </w:r>
        <w:r>
          <w:rPr>
            <w:rFonts w:ascii="Times New Roman" w:hAnsi="Times New Roman"/>
            <w:color w:val="006fc4"/>
            <w:sz w:val="20"/>
          </w:rPr>
          <w:t>, 331 F.3d 261, 286 (2d Cir. 2003)</w:t>
        </w:r>
      </w:hyperlink>
      <w:r>
        <w:rPr>
          <w:rFonts w:ascii="Times New Roman" w:hAnsi="Times New Roman"/>
          <w:color w:val="1f1f1f"/>
          <w:sz w:val="20"/>
        </w:rPr>
        <w:t xml:space="preserve"> (holding that states incurred liability under the Rehabilitation Act for localities’ violations because the states’ acceptance of federal funds had reflected a promise to ensure statutory compliance).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long as the CDOC and CDCJ complied with the prohibition against discrimination, they could choose how to operate the community corrections program. For example, the CDOC and CDCJ could operate the program themselves or farm out operations to a local or private entity. But either way, the CDOC and CDCJ would remain subject to the statutory prohibition against discrimination. </w:t>
      </w:r>
      <w:r>
        <w:rPr>
          <w:rFonts w:ascii="Times New Roman" w:hAnsi="Times New Roman"/>
          <w:i/>
          <w:color w:val="1f1f1f"/>
          <w:sz w:val="20"/>
        </w:rPr>
        <w:t xml:space="preserve">See </w:t>
      </w:r>
      <w:hyperlink r:id="r179">
        <w:r>
          <w:rPr>
            <w:rFonts w:ascii="Times New Roman" w:hAnsi="Times New Roman"/>
            <w:i/>
            <w:color w:val="006fc4"/>
            <w:sz w:val="20"/>
          </w:rPr>
          <w:t>Castle</w:t>
        </w:r>
        <w:r>
          <w:rPr>
            <w:rFonts w:ascii="Times New Roman" w:hAnsi="Times New Roman"/>
            <w:color w:val="006fc4"/>
            <w:sz w:val="20"/>
          </w:rPr>
          <w:t>, 731 F.3d at 910</w:t>
        </w:r>
      </w:hyperlink>
      <w:r>
        <w:rPr>
          <w:rFonts w:ascii="Times New Roman" w:hAnsi="Times New Roman"/>
          <w:color w:val="1f1f1f"/>
          <w:sz w:val="20"/>
        </w:rPr>
        <w:t xml:space="preserve"> (stating that the obligations under Title II of the Americans with Disabilities Act “apply to public entities regardless of how those entities chose to provide or operate their programs and benefits”).</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62051884015_1">
        <w:r>
          <w:rPr>
            <w:rFonts w:ascii="Times New Roman" w:hAnsi="Times New Roman"/>
            <w:b/>
            <w:color w:val="252525"/>
            <w:sz w:val="20"/>
            <w:bdr w:val="none" w:space="2"/>
            <w:vertAlign w:val="superscript"/>
          </w:rPr>
          <w:t>[16]</w:t>
        </w:r>
      </w:hyperlink>
      <w:r>
        <w:rPr>
          <w:rFonts w:ascii="Times New Roman" w:hAnsi="Times New Roman"/>
          <w:color w:val="1f1f1f"/>
          <w:sz w:val="20"/>
        </w:rPr>
        <w:t xml:space="preserve">Because this prohibition applies, the statutes and related regulations do not allow public or federally-funded entities to contract away their liability for discrimination. For example, the Americans with Disabilities Act prohibits discrimination when it is either direct or committed “through contractual, licensing, or other arrangements.” </w:t>
      </w:r>
      <w:hyperlink r:id="r180">
        <w:r>
          <w:rPr>
            <w:rFonts w:ascii="Times New Roman" w:hAnsi="Times New Roman"/>
            <w:color w:val="006fc4"/>
            <w:sz w:val="20"/>
          </w:rPr>
          <w:t>42 U.S.C. § 12182(b)(1)(A) (2012)</w:t>
        </w:r>
      </w:hyperlink>
      <w:r>
        <w:rPr>
          <w:rFonts w:ascii="Times New Roman" w:hAnsi="Times New Roman"/>
          <w:color w:val="1f1f1f"/>
          <w:sz w:val="20"/>
        </w:rPr>
        <w:t xml:space="preserve">. And the accompanying regulations prohibit public entities from committing disability </w:t>
      </w:r>
      <w:bookmarkStart w:id="179" w:name="co_pp_sp_506_1097_1"/>
      <w:r>
        <w:rPr>
          <w:rFonts w:ascii="Times New Roman" w:hAnsi="Times New Roman"/>
          <w:b/>
          <w:color w:val="000000"/>
          <w:sz w:val="20"/>
        </w:rPr>
        <w:t>*1097</w:t>
      </w:r>
      <w:bookmarkEnd w:id="179"/>
      <w:r>
        <w:rPr>
          <w:rFonts w:ascii="Times New Roman" w:hAnsi="Times New Roman"/>
          <w:color w:val="1f1f1f"/>
          <w:sz w:val="20"/>
        </w:rPr>
        <w:t xml:space="preserve"> discrimination either “directly or through contractual, licensing, or other arrangements.” </w:t>
      </w:r>
      <w:hyperlink r:id="r181">
        <w:r>
          <w:rPr>
            <w:rFonts w:ascii="Times New Roman" w:hAnsi="Times New Roman"/>
            <w:color w:val="006fc4"/>
            <w:sz w:val="20"/>
          </w:rPr>
          <w:t>28 C.F.R. § 35.130(b) (2013)</w:t>
        </w:r>
      </w:hyperlink>
      <w:r>
        <w:rPr>
          <w:rFonts w:ascii="Times New Roman" w:hAnsi="Times New Roman"/>
          <w:color w:val="1f1f1f"/>
          <w:sz w:val="20"/>
        </w:rPr>
        <w:t>.</w:t>
      </w:r>
      <w:bookmarkStart w:id="180" w:name="co_fnRef_B00062051884015_ID0ENJBI_1"/>
      <w:hyperlink w:anchor="co_footnote_B00062051884015_1">
        <w:r>
          <w:rPr>
            <w:rFonts w:ascii="Times New Roman" w:hAnsi="Times New Roman"/>
            <w:color w:val="006fc4"/>
            <w:sz w:val="16"/>
            <w:vertAlign w:val="superscript"/>
          </w:rPr>
          <w:t>5</w:t>
        </w:r>
      </w:hyperlink>
      <w:bookmarkEnd w:id="180"/>
      <w:r>
        <w:rPr>
          <w:rFonts w:ascii="Times New Roman" w:hAnsi="Times New Roman"/>
          <w:color w:val="1f1f1f"/>
          <w:sz w:val="20"/>
        </w:rPr>
        <w:t xml:space="preserve"> Similarly, the regulations accompanying the Rehabilitation Act prohibit recipients of federal funding from discriminating against the handicapped “through contractual, licensing, or other arrangements.” </w:t>
      </w:r>
      <w:hyperlink r:id="r182">
        <w:r>
          <w:rPr>
            <w:rFonts w:ascii="Times New Roman" w:hAnsi="Times New Roman"/>
            <w:color w:val="006fc4"/>
            <w:sz w:val="20"/>
          </w:rPr>
          <w:t>28 C.F.R. § 42.503(b) (2013)</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these statutes and related regulations, a state entity's services include programs “undertake[n] through third parties by means of contracts and other arrangements.” </w:t>
      </w:r>
      <w:hyperlink r:id="r183">
        <w:r>
          <w:rPr>
            <w:rFonts w:ascii="Times New Roman" w:hAnsi="Times New Roman"/>
            <w:i/>
            <w:color w:val="006fc4"/>
            <w:sz w:val="20"/>
          </w:rPr>
          <w:t>Armstrong v. Schwarzenegger</w:t>
        </w:r>
        <w:r>
          <w:rPr>
            <w:rFonts w:ascii="Times New Roman" w:hAnsi="Times New Roman"/>
            <w:color w:val="006fc4"/>
            <w:sz w:val="20"/>
          </w:rPr>
          <w:t>, 622 F.3d 1058, 1065 (9th Cir. 2010)</w:t>
        </w:r>
      </w:hyperlink>
      <w:r>
        <w:rPr>
          <w:rFonts w:ascii="Times New Roman" w:hAnsi="Times New Roman"/>
          <w:color w:val="1f1f1f"/>
          <w:sz w:val="20"/>
        </w:rPr>
        <w:t xml:space="preserve">. The CDOC and CDCJ thus cannot avoid statutory liability solely because they were not directly involved in Intervention's decision to regress Ms. Marks. </w:t>
      </w:r>
      <w:r>
        <w:rPr>
          <w:rFonts w:ascii="Times New Roman" w:hAnsi="Times New Roman"/>
          <w:i/>
          <w:color w:val="1f1f1f"/>
          <w:sz w:val="20"/>
        </w:rPr>
        <w:t xml:space="preserve">See </w:t>
      </w:r>
      <w:hyperlink r:id="r184">
        <w:r>
          <w:rPr>
            <w:rFonts w:ascii="Times New Roman" w:hAnsi="Times New Roman"/>
            <w:i/>
            <w:color w:val="006fc4"/>
            <w:sz w:val="20"/>
          </w:rPr>
          <w:t>Phillips v. Tiona</w:t>
        </w:r>
        <w:r>
          <w:rPr>
            <w:rFonts w:ascii="Times New Roman" w:hAnsi="Times New Roman"/>
            <w:color w:val="006fc4"/>
            <w:sz w:val="20"/>
          </w:rPr>
          <w:t>, 508 F. App'x 737, 753 (10th Cir. 2013)</w:t>
        </w:r>
      </w:hyperlink>
      <w:r>
        <w:rPr>
          <w:rFonts w:ascii="Times New Roman" w:hAnsi="Times New Roman"/>
          <w:color w:val="1f1f1f"/>
          <w:sz w:val="20"/>
        </w:rPr>
        <w:t xml:space="preserve"> (unpublished);</w:t>
      </w:r>
      <w:bookmarkStart w:id="181" w:name="co_fnRef_B00072051884015_ID0EHMBI_1"/>
      <w:hyperlink w:anchor="co_footnote_B00072051884015_1">
        <w:r>
          <w:rPr>
            <w:rFonts w:ascii="Times New Roman" w:hAnsi="Times New Roman"/>
            <w:color w:val="006fc4"/>
            <w:sz w:val="16"/>
            <w:vertAlign w:val="superscript"/>
          </w:rPr>
          <w:t>6</w:t>
        </w:r>
      </w:hyperlink>
      <w:bookmarkEnd w:id="181"/>
      <w:r>
        <w:rPr>
          <w:rFonts w:ascii="Times New Roman" w:hAnsi="Times New Roman"/>
          <w:color w:val="1f1f1f"/>
          <w:sz w:val="20"/>
        </w:rPr>
        <w:t xml:space="preserve"> </w:t>
      </w:r>
      <w:r>
        <w:rPr>
          <w:rFonts w:ascii="Times New Roman" w:hAnsi="Times New Roman"/>
          <w:i/>
          <w:color w:val="1f1f1f"/>
          <w:sz w:val="20"/>
        </w:rPr>
        <w:t xml:space="preserve">see also </w:t>
      </w:r>
      <w:hyperlink r:id="r185">
        <w:r>
          <w:rPr>
            <w:rFonts w:ascii="Times New Roman" w:hAnsi="Times New Roman"/>
            <w:i/>
            <w:color w:val="006fc4"/>
            <w:sz w:val="20"/>
          </w:rPr>
          <w:t>Armstrong</w:t>
        </w:r>
        <w:r>
          <w:rPr>
            <w:rFonts w:ascii="Times New Roman" w:hAnsi="Times New Roman"/>
            <w:color w:val="006fc4"/>
            <w:sz w:val="20"/>
          </w:rPr>
          <w:t>, 622 F.3d at 1068</w:t>
        </w:r>
      </w:hyperlink>
      <w:r>
        <w:rPr>
          <w:rFonts w:ascii="Times New Roman" w:hAnsi="Times New Roman"/>
          <w:color w:val="1f1f1f"/>
          <w:sz w:val="20"/>
        </w:rPr>
        <w:t xml:space="preserve"> (holding that Title II of the Americans with Disabilities Act required state defendants to ensure compliance by private operators).</w:t>
      </w:r>
      <w:bookmarkStart w:id="182" w:name="co_fnRef_B00082051884015_ID0E2MBI_1"/>
      <w:hyperlink w:anchor="co_footnote_B00082051884015_1">
        <w:r>
          <w:rPr>
            <w:rFonts w:ascii="Times New Roman" w:hAnsi="Times New Roman"/>
            <w:color w:val="006fc4"/>
            <w:sz w:val="16"/>
            <w:vertAlign w:val="superscript"/>
          </w:rPr>
          <w:t>7</w:t>
        </w:r>
      </w:hyperlink>
      <w:bookmarkEnd w:id="182"/>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CDOC and CDCJ characterize the community corrections program as the exclusive province of Jefferson County and Intervention. But a factfinder could reasonably regard the program as the state's. Indeed, a state regulation assigns administration of residential community corrections programs to the CDOC. CDOC Admin. Reg. 250-15(I) (2011).</w:t>
      </w:r>
      <w:bookmarkStart w:id="183" w:name="co_fnRef_B00092051884015_ID0EPQBI_1"/>
      <w:hyperlink w:anchor="co_footnote_B00092051884015_1">
        <w:r>
          <w:rPr>
            <w:rFonts w:ascii="Times New Roman" w:hAnsi="Times New Roman"/>
            <w:color w:val="006fc4"/>
            <w:sz w:val="16"/>
            <w:vertAlign w:val="superscript"/>
          </w:rPr>
          <w:t>8</w:t>
        </w:r>
      </w:hyperlink>
      <w:bookmarkEnd w:id="183"/>
      <w:r>
        <w:rPr>
          <w:rFonts w:ascii="Times New Roman" w:hAnsi="Times New Roman"/>
          <w:color w:val="1f1f1f"/>
          <w:sz w:val="20"/>
        </w:rPr>
        <w:t xml:space="preserve"> And the CDOC and CDCJ collectively provided funding for community corrections, made referrals to community corrections,</w:t>
      </w:r>
      <w:bookmarkStart w:id="184" w:name="co_fnRef_B00102051884015_ID0EWQBI_1"/>
      <w:hyperlink w:anchor="co_footnote_B00102051884015_1">
        <w:r>
          <w:rPr>
            <w:rFonts w:ascii="Times New Roman" w:hAnsi="Times New Roman"/>
            <w:color w:val="006fc4"/>
            <w:sz w:val="16"/>
            <w:vertAlign w:val="superscript"/>
          </w:rPr>
          <w:t>9</w:t>
        </w:r>
      </w:hyperlink>
      <w:bookmarkEnd w:id="184"/>
      <w:r>
        <w:rPr>
          <w:rFonts w:ascii="Times New Roman" w:hAnsi="Times New Roman"/>
          <w:color w:val="1f1f1f"/>
          <w:sz w:val="20"/>
        </w:rPr>
        <w:t xml:space="preserve"> created standards for community corrections, maintained custody over all inmates in community corrections, continued to monitor the status of these inmates while in community corrections, and audited community corrections programs. </w:t>
      </w:r>
      <w:hyperlink r:id="r186">
        <w:r>
          <w:rPr>
            <w:rFonts w:ascii="Times New Roman" w:hAnsi="Times New Roman"/>
            <w:color w:val="006fc4"/>
            <w:sz w:val="20"/>
          </w:rPr>
          <w:t>Colo. Rev. Stat. §§ 17-27-103(4)</w:t>
        </w:r>
      </w:hyperlink>
      <w:r>
        <w:rPr>
          <w:rFonts w:ascii="Times New Roman" w:hAnsi="Times New Roman"/>
          <w:color w:val="1f1f1f"/>
          <w:sz w:val="20"/>
        </w:rPr>
        <w:t xml:space="preserve">, </w:t>
      </w:r>
      <w:hyperlink r:id="r187">
        <w:r>
          <w:rPr>
            <w:rFonts w:ascii="Times New Roman" w:hAnsi="Times New Roman"/>
            <w:color w:val="006fc4"/>
            <w:sz w:val="20"/>
          </w:rPr>
          <w:t>17-27-108(1)</w:t>
        </w:r>
      </w:hyperlink>
      <w:r>
        <w:rPr>
          <w:rFonts w:ascii="Times New Roman" w:hAnsi="Times New Roman"/>
          <w:color w:val="1f1f1f"/>
          <w:sz w:val="20"/>
        </w:rPr>
        <w:t>–</w:t>
      </w:r>
      <w:hyperlink r:id="r188">
        <w:r>
          <w:rPr>
            <w:rFonts w:ascii="Times New Roman" w:hAnsi="Times New Roman"/>
            <w:color w:val="006fc4"/>
            <w:sz w:val="20"/>
          </w:rPr>
          <w:t>(2) (2013)</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Appellant's App'x, vol. 2, at 305–06, 448, 475.</w:t>
      </w:r>
      <w:bookmarkStart w:id="185" w:name="co_fnRef_B00112051884015_ID0E3RBI_1"/>
      <w:hyperlink w:anchor="co_footnote_B00112051884015_1">
        <w:r>
          <w:rPr>
            <w:rFonts w:ascii="Times New Roman" w:hAnsi="Times New Roman"/>
            <w:color w:val="006fc4"/>
            <w:sz w:val="16"/>
            <w:vertAlign w:val="superscript"/>
          </w:rPr>
          <w:t>10</w:t>
        </w:r>
      </w:hyperlink>
      <w:bookmarkEnd w:id="185"/>
    </w:p>
    <w:p>
      <w:pPr>
        <w:spacing w:before="0" w:after="0" w:line="275" w:lineRule="atLeast"/>
        <w:jc w:val="both"/>
      </w:pPr>
      <w:r>
        <w:rPr>
          <w:rFonts w:ascii="Times New Roman" w:hAnsi="Times New Roman"/>
          <w:color w:val="1f1f1f"/>
          <w:sz w:val="20"/>
        </w:rPr>
        <w:t> </w:t>
      </w:r>
    </w:p>
    <w:p>
      <w:pPr>
        <w:spacing w:before="200" w:after="0" w:line="275" w:lineRule="atLeast"/>
        <w:jc w:val="both"/>
      </w:pPr>
      <w:bookmarkStart w:id="186" w:name="co_pp_sp_506_1098_1"/>
      <w:r>
        <w:rPr>
          <w:rFonts w:ascii="Times New Roman" w:hAnsi="Times New Roman"/>
          <w:b/>
          <w:color w:val="000000"/>
          <w:sz w:val="20"/>
        </w:rPr>
        <w:t>*1098</w:t>
      </w:r>
      <w:bookmarkEnd w:id="186"/>
    </w:p>
    <w:bookmarkStart w:id="187" w:name="co_anchor_Iebb3b8a0483311eebf22c578e276"/>
    <w:p>
      <w:pPr>
        <w:spacing w:before="0" w:after="0" w:line="275" w:lineRule="atLeast"/>
        <w:jc w:val="both"/>
      </w:pPr>
      <w:hyperlink r:id="r189">
        <w:r>
          <w:rPr>
            <w:rFonts w:ascii="Times New Roman" w:hAnsi="Times New Roman"/>
            <w:color w:val="006fc4"/>
            <w:sz w:val="66"/>
          </w:rPr>
          <w:drawing>
            <wp:inline>
              <wp:extent cx="5067300" cy="2417731"/>
              <wp:docPr id="57" name="Picture 3" descr="Image 2 within Marks v. Colorado Department of Corrections"/>
              <a:graphic>
                <a:graphicData uri="http://schemas.openxmlformats.org/drawingml/2006/picture">
                  <p:pic>
                    <p:nvPicPr>
                      <p:cNvPr id="58" name="Picture 3" descr="Image 2 within Marks v. Colorado Department of Corrections"/>
                      <p:cNvPicPr/>
                    </p:nvPicPr>
                    <p:blipFill>
                      <a:blip r:embed="r191"/>
                      <a:srcRect/>
                      <a:stretch>
                        <a:fillRect/>
                      </a:stretch>
                    </p:blipFill>
                    <p:spPr>
                      <a:xfrm>
                        <a:off x="0" y="0"/>
                        <a:ext cx="5067300" cy="2417731"/>
                      </a:xfrm>
                      <a:prstGeom prst="rect"/>
                    </p:spPr>
                  </p:pic>
                </a:graphicData>
              </a:graphic>
            </wp:inline>
          </w:drawing>
        </w:r>
      </w:hyperlink>
      <w:hyperlink r:id="r190">
        <w:r>
          <w:rPr>
            <w:rFonts w:ascii="Times New Roman" w:hAnsi="Times New Roman"/>
            <w:color w:val="006fc4"/>
            <w:sz w:val="20"/>
          </w:rPr>
          <w:t>​</w:t>
        </w:r>
      </w:hyperlink>
    </w:p>
    <w:bookmarkEnd w:id="187"/>
    <w:p>
      <w:pPr>
        <w:spacing w:before="0" w:after="0" w:line="275" w:lineRule="atLeast"/>
        <w:jc w:val="center"/>
      </w:pPr>
      <w:r>
        <w:rPr>
          <w:rFonts w:ascii="Times New Roman" w:hAnsi="Times New Roman"/>
          <w:color w:val="1f1f1f"/>
          <w:sz w:val="20"/>
        </w:rPr>
        <w:t>* * *</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Federal statutes and regulations prohibited discrimination against prisoners like Ms. Marks when they participated in state programs like community corrections. The CDOC and CDCJ could farm out operations to others, but doing so would not prevent liability under the Americans with Disabilities Act or Rehabilitation Act. So the district court shouldn't have awarded summary judgment to the CDOC or CDCJ on these claims.</w:t>
      </w:r>
    </w:p>
    <w:p>
      <w:pPr>
        <w:spacing w:before="0" w:after="0" w:line="275" w:lineRule="atLeast"/>
        <w:jc w:val="both"/>
      </w:pPr>
      <w:r>
        <w:rPr>
          <w:rFonts w:ascii="Times New Roman" w:hAnsi="Times New Roman"/>
          <w:color w:val="1f1f1f"/>
          <w:sz w:val="20"/>
        </w:rPr>
        <w:t> </w:t>
      </w:r>
    </w:p>
    <w:bookmarkStart w:id="188" w:name="co_anchor_Iebe09501483311eebf22c578e276"/>
    <w:bookmarkStart w:id="189" w:name="co_anchor_Iebe09501483311eebf22c578e2"/>
    <w:p>
      <w:pPr>
        <w:pBdr>
          <w:left w:val="none" w:space="10"/>
        </w:pBdr>
        <w:spacing w:before="400" w:after="0" w:line="275" w:lineRule="atLeast"/>
        <w:ind w:left="200" w:right="0" w:firstLine="0"/>
      </w:pPr>
      <w:r>
        <w:rPr>
          <w:rFonts w:ascii="Times New Roman" w:hAnsi="Times New Roman"/>
          <w:b/>
          <w:color w:val="1f1f1f"/>
          <w:sz w:val="20"/>
        </w:rPr>
        <w:t>D. The Equal-Protection Claim</w:t>
      </w:r>
    </w:p>
    <w:bookmarkEnd w:id="189"/>
    <w:bookmarkEnd w:id="188"/>
    <w:p>
      <w:pPr>
        <w:spacing w:before="0" w:after="0" w:line="275" w:lineRule="atLeast"/>
        <w:jc w:val="both"/>
      </w:pPr>
      <w:r>
        <w:rPr>
          <w:rFonts w:ascii="Times New Roman" w:hAnsi="Times New Roman"/>
          <w:color w:val="1f1f1f"/>
          <w:sz w:val="20"/>
        </w:rPr>
        <w:t>Ms. Marks also appeals the district court's grant of summary judgment on her equal-protection claim, which involves discrimination based on her disability. This ruling was correct.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72051884015_1">
        <w:r>
          <w:rPr>
            <w:rFonts w:ascii="Times New Roman" w:hAnsi="Times New Roman"/>
            <w:b/>
            <w:color w:val="252525"/>
            <w:sz w:val="20"/>
            <w:bdr w:val="none" w:space="2"/>
            <w:vertAlign w:val="superscript"/>
          </w:rPr>
          <w:t>[17]</w:t>
        </w:r>
      </w:hyperlink>
      <w:r>
        <w:rPr>
          <w:rFonts w:ascii="Times New Roman" w:hAnsi="Times New Roman"/>
          <w:color w:val="1f1f1f"/>
          <w:sz w:val="20"/>
        </w:rPr>
        <w:t xml:space="preserve"> </w:t>
      </w:r>
      <w:hyperlink w:anchor="co_hn_anchor_F182051884015_1">
        <w:r>
          <w:rPr>
            <w:rFonts w:ascii="Times New Roman" w:hAnsi="Times New Roman"/>
            <w:b/>
            <w:color w:val="252525"/>
            <w:sz w:val="20"/>
            <w:bdr w:val="none" w:space="2"/>
            <w:vertAlign w:val="superscript"/>
          </w:rPr>
          <w:t>[18]</w:t>
        </w:r>
      </w:hyperlink>
      <w:r>
        <w:rPr>
          <w:rFonts w:ascii="Times New Roman" w:hAnsi="Times New Roman"/>
          <w:color w:val="1f1f1f"/>
          <w:sz w:val="20"/>
        </w:rPr>
        <w:t xml:space="preserve">Under Supreme Court precedent, claims of disability discrimination trigger rational-basis review. </w:t>
      </w:r>
      <w:hyperlink r:id="r192">
        <w:r>
          <w:rPr>
            <w:rFonts w:ascii="Times New Roman" w:hAnsi="Times New Roman"/>
            <w:i/>
            <w:color w:val="006fc4"/>
            <w:sz w:val="20"/>
          </w:rPr>
          <w:t>Bd. of Trs. of Univ. of Ala. v. Garrett</w:t>
        </w:r>
        <w:r>
          <w:rPr>
            <w:rFonts w:ascii="Times New Roman" w:hAnsi="Times New Roman"/>
            <w:color w:val="006fc4"/>
            <w:sz w:val="20"/>
          </w:rPr>
          <w:t>, 531 U.S. 356, 367, 121 S.Ct. 955, 148 L.Ed.2d 866 (2001)</w:t>
        </w:r>
      </w:hyperlink>
      <w:r>
        <w:rPr>
          <w:rFonts w:ascii="Times New Roman" w:hAnsi="Times New Roman"/>
          <w:color w:val="1f1f1f"/>
          <w:sz w:val="20"/>
        </w:rPr>
        <w:t xml:space="preserve">. Ms. Marks admits that precedent requires rational-basis review but maintains that disability discrimination should trigger stricter scrutiny. Appellant's Opening Br. at 64 n.24; </w:t>
      </w:r>
      <w:r>
        <w:rPr>
          <w:rFonts w:ascii="Times New Roman" w:hAnsi="Times New Roman"/>
          <w:i/>
          <w:color w:val="1f1f1f"/>
          <w:sz w:val="20"/>
        </w:rPr>
        <w:t>see also</w:t>
      </w:r>
      <w:r>
        <w:rPr>
          <w:rFonts w:ascii="Times New Roman" w:hAnsi="Times New Roman"/>
          <w:color w:val="1f1f1f"/>
          <w:sz w:val="20"/>
        </w:rPr>
        <w:t xml:space="preserve"> Oral Arg. at 30:47 (“What we acknowledged is that under caselaw which we believe is incorrect, it's rational basis review.”). But even if we agreed, we could not buck Supreme Court precedent. </w:t>
      </w:r>
      <w:r>
        <w:rPr>
          <w:rFonts w:ascii="Times New Roman" w:hAnsi="Times New Roman"/>
          <w:i/>
          <w:color w:val="1f1f1f"/>
          <w:sz w:val="20"/>
        </w:rPr>
        <w:t xml:space="preserve">See </w:t>
      </w:r>
      <w:hyperlink r:id="r193">
        <w:r>
          <w:rPr>
            <w:rFonts w:ascii="Times New Roman" w:hAnsi="Times New Roman"/>
            <w:i/>
            <w:color w:val="006fc4"/>
            <w:sz w:val="20"/>
          </w:rPr>
          <w:t>Hutto v. Davis</w:t>
        </w:r>
        <w:r>
          <w:rPr>
            <w:rFonts w:ascii="Times New Roman" w:hAnsi="Times New Roman"/>
            <w:color w:val="006fc4"/>
            <w:sz w:val="20"/>
          </w:rPr>
          <w:t>, 454 U.S. 370, 375, 102 S.Ct. 703, 70 L.Ed.2d 556 (1982)</w:t>
        </w:r>
      </w:hyperlink>
      <w:r>
        <w:rPr>
          <w:rFonts w:ascii="Times New Roman" w:hAnsi="Times New Roman"/>
          <w:color w:val="1f1f1f"/>
          <w:sz w:val="20"/>
        </w:rPr>
        <w:t xml:space="preserve"> (per curiam </w:t>
      </w:r>
      <w:bookmarkStart w:id="190" w:name="co_pp_sp_506_1099_1"/>
      <w:r>
        <w:rPr>
          <w:rFonts w:ascii="Times New Roman" w:hAnsi="Times New Roman"/>
          <w:b/>
          <w:color w:val="000000"/>
          <w:sz w:val="20"/>
        </w:rPr>
        <w:t>*1099</w:t>
      </w:r>
      <w:bookmarkEnd w:id="190"/>
      <w:r>
        <w:rPr>
          <w:rFonts w:ascii="Times New Roman" w:hAnsi="Times New Roman"/>
          <w:color w:val="1f1f1f"/>
          <w:sz w:val="20"/>
        </w:rPr>
        <w:t xml:space="preserve"> ) (“[A] precedent of this Court must be followed by the lower federal courts no matter how misguided the judges of those courts may think it to be.”).</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192051884015_1">
        <w:r>
          <w:rPr>
            <w:rFonts w:ascii="Times New Roman" w:hAnsi="Times New Roman"/>
            <w:b/>
            <w:color w:val="252525"/>
            <w:sz w:val="20"/>
            <w:bdr w:val="none" w:space="2"/>
            <w:vertAlign w:val="superscript"/>
          </w:rPr>
          <w:t>[19]</w:t>
        </w:r>
      </w:hyperlink>
      <w:r>
        <w:rPr>
          <w:rFonts w:ascii="Times New Roman" w:hAnsi="Times New Roman"/>
          <w:color w:val="1f1f1f"/>
          <w:sz w:val="20"/>
        </w:rPr>
        <w:t xml:space="preserve"> </w:t>
      </w:r>
      <w:hyperlink w:anchor="co_hn_anchor_F202051884015_1">
        <w:r>
          <w:rPr>
            <w:rFonts w:ascii="Times New Roman" w:hAnsi="Times New Roman"/>
            <w:b/>
            <w:color w:val="252525"/>
            <w:sz w:val="20"/>
            <w:bdr w:val="none" w:space="2"/>
            <w:vertAlign w:val="superscript"/>
          </w:rPr>
          <w:t>[20]</w:t>
        </w:r>
      </w:hyperlink>
      <w:r>
        <w:rPr>
          <w:rFonts w:ascii="Times New Roman" w:hAnsi="Times New Roman"/>
          <w:color w:val="1f1f1f"/>
          <w:sz w:val="20"/>
        </w:rPr>
        <w:t xml:space="preserve">Under rational-basis review, the underlying decision is presumed valid. </w:t>
      </w:r>
      <w:hyperlink r:id="r194">
        <w:r>
          <w:rPr>
            <w:rFonts w:ascii="Times New Roman" w:hAnsi="Times New Roman"/>
            <w:i/>
            <w:color w:val="006fc4"/>
            <w:sz w:val="20"/>
          </w:rPr>
          <w:t>City of Cleburne v. Cleburne Living Ctr.</w:t>
        </w:r>
        <w:r>
          <w:rPr>
            <w:rFonts w:ascii="Times New Roman" w:hAnsi="Times New Roman"/>
            <w:color w:val="006fc4"/>
            <w:sz w:val="20"/>
          </w:rPr>
          <w:t>, 473 U.S. 432, 440, 105 S.Ct. 3249, 87 L.Ed.2d 313 (1985)</w:t>
        </w:r>
      </w:hyperlink>
      <w:r>
        <w:rPr>
          <w:rFonts w:ascii="Times New Roman" w:hAnsi="Times New Roman"/>
          <w:color w:val="1f1f1f"/>
          <w:sz w:val="20"/>
        </w:rPr>
        <w:t xml:space="preserve">. This presumption requires us to defer to the decisionmaker's choice whenever we can imagine “any reasonably conceivable state of facts that could provide a rational basis for the classification.” </w:t>
      </w:r>
      <w:hyperlink r:id="r195">
        <w:r>
          <w:rPr>
            <w:rFonts w:ascii="Times New Roman" w:hAnsi="Times New Roman"/>
            <w:i/>
            <w:color w:val="006fc4"/>
            <w:sz w:val="20"/>
          </w:rPr>
          <w:t>Teigen v. Renfrow</w:t>
        </w:r>
        <w:r>
          <w:rPr>
            <w:rFonts w:ascii="Times New Roman" w:hAnsi="Times New Roman"/>
            <w:color w:val="006fc4"/>
            <w:sz w:val="20"/>
          </w:rPr>
          <w:t>, 511 F.3d 1072, 1083 (10th Cir. 2007)</w:t>
        </w:r>
      </w:hyperlink>
      <w:r>
        <w:rPr>
          <w:rFonts w:ascii="Times New Roman" w:hAnsi="Times New Roman"/>
          <w:color w:val="1f1f1f"/>
          <w:sz w:val="20"/>
        </w:rPr>
        <w:t xml:space="preserve"> (quoting </w:t>
      </w:r>
      <w:hyperlink r:id="r196">
        <w:r>
          <w:rPr>
            <w:rFonts w:ascii="Times New Roman" w:hAnsi="Times New Roman"/>
            <w:i/>
            <w:color w:val="006fc4"/>
            <w:sz w:val="20"/>
          </w:rPr>
          <w:t>Copelin-Brown v. N.M. State Pers. Office</w:t>
        </w:r>
        <w:r>
          <w:rPr>
            <w:rFonts w:ascii="Times New Roman" w:hAnsi="Times New Roman"/>
            <w:color w:val="006fc4"/>
            <w:sz w:val="20"/>
          </w:rPr>
          <w:t>, 399 F.3d 1248, 1255 (10th Cir. 2005)</w:t>
        </w:r>
      </w:hyperlink>
      <w:r>
        <w:rPr>
          <w:rFonts w:ascii="Times New Roman" w:hAnsi="Times New Roman"/>
          <w:color w:val="1f1f1f"/>
          <w:sz w:val="20"/>
        </w:rPr>
        <w:t xml:space="preserve">). Under this standard, states need not “make special accommodations for the disabled, so long as their actions toward such individuals are rational.” </w:t>
      </w:r>
      <w:hyperlink r:id="r197">
        <w:r>
          <w:rPr>
            <w:rFonts w:ascii="Times New Roman" w:hAnsi="Times New Roman"/>
            <w:i/>
            <w:color w:val="006fc4"/>
            <w:sz w:val="20"/>
          </w:rPr>
          <w:t>Bd. of Trs. of Univ. of Ala. v. Garrett</w:t>
        </w:r>
        <w:r>
          <w:rPr>
            <w:rFonts w:ascii="Times New Roman" w:hAnsi="Times New Roman"/>
            <w:color w:val="006fc4"/>
            <w:sz w:val="20"/>
          </w:rPr>
          <w:t>, 531 U.S. 356, 367–68, 121 S.Ct. 955, 148 L.Ed.2d 866 (2001)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CDOC and CDCJ argue that regression of Ms. Marks was rational because</w:t>
      </w:r>
    </w:p>
    <w:p>
      <w:pPr>
        <w:spacing w:before="200" w:after="0" w:line="275" w:lineRule="atLeast"/>
        <w:ind w:left="400" w:right="0" w:hanging="200"/>
        <w:jc w:val="both"/>
      </w:pPr>
      <w:r>
        <w:rPr>
          <w:rFonts w:ascii="Times New Roman" w:hAnsi="Times New Roman"/>
          <w:color w:val="1f1f1f"/>
          <w:sz w:val="20"/>
        </w:rPr>
        <w:t>• her continued housing in community corrections was unsafe because Intervention lacked medical staff and could not provide extended bedrest or medical care and</w:t>
      </w:r>
    </w:p>
    <w:p>
      <w:pPr>
        <w:spacing w:before="200" w:after="0" w:line="275" w:lineRule="atLeast"/>
        <w:ind w:left="400" w:right="0" w:hanging="200"/>
        <w:jc w:val="both"/>
      </w:pPr>
      <w:r>
        <w:rPr>
          <w:rFonts w:ascii="Times New Roman" w:hAnsi="Times New Roman"/>
          <w:color w:val="1f1f1f"/>
          <w:sz w:val="20"/>
        </w:rPr>
        <w:t>• Ms. Marks had violated her conditions by failing to attend job training and educational programs or work at a telephone location.</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12051884015_1">
        <w:r>
          <w:rPr>
            <w:rFonts w:ascii="Times New Roman" w:hAnsi="Times New Roman"/>
            <w:b/>
            <w:color w:val="252525"/>
            <w:sz w:val="20"/>
            <w:bdr w:val="none" w:space="2"/>
            <w:vertAlign w:val="superscript"/>
          </w:rPr>
          <w:t>[21]</w:t>
        </w:r>
      </w:hyperlink>
      <w:r>
        <w:rPr>
          <w:rFonts w:ascii="Times New Roman" w:hAnsi="Times New Roman"/>
          <w:color w:val="1f1f1f"/>
          <w:sz w:val="20"/>
        </w:rPr>
        <w:t xml:space="preserve">We reach only the first reason and conclude that it satisfies rational-basis review. Intervention lacked on-site medical staff, and the CDOC and CDCJ could reasonably consider the facilities unsafe for Ms. Marks. Indeed, she had already fallen in the shower because of the absence of a grab bar or shower chair. And a physician had said that Ms. Marks's movement was limited, that she needed physical therapy, and that she required bedrest. So even if the CDOC and CDCJ could have prevented the regression decision, they could have rationally doubted Intervention's ability to accommodate Ms. Marks's medical needs. </w:t>
      </w:r>
      <w:r>
        <w:rPr>
          <w:rFonts w:ascii="Times New Roman" w:hAnsi="Times New Roman"/>
          <w:i/>
          <w:color w:val="1f1f1f"/>
          <w:sz w:val="20"/>
        </w:rPr>
        <w:t xml:space="preserve">See </w:t>
      </w:r>
      <w:hyperlink r:id="r198">
        <w:r>
          <w:rPr>
            <w:rFonts w:ascii="Times New Roman" w:hAnsi="Times New Roman"/>
            <w:i/>
            <w:color w:val="006fc4"/>
            <w:sz w:val="20"/>
          </w:rPr>
          <w:t>Welsh v. City of Tulsa</w:t>
        </w:r>
        <w:r>
          <w:rPr>
            <w:rFonts w:ascii="Times New Roman" w:hAnsi="Times New Roman"/>
            <w:color w:val="006fc4"/>
            <w:sz w:val="20"/>
          </w:rPr>
          <w:t>, 977 F.2d 1415, 1420 (10th Cir. 1992)</w:t>
        </w:r>
      </w:hyperlink>
      <w:r>
        <w:rPr>
          <w:rFonts w:ascii="Times New Roman" w:hAnsi="Times New Roman"/>
          <w:color w:val="1f1f1f"/>
          <w:sz w:val="20"/>
        </w:rPr>
        <w:t xml:space="preserve"> (holding that a municipal defendant had a rational basis for not hiring a disabled firefighter because of his need for special accommodations).</w:t>
      </w:r>
      <w:bookmarkStart w:id="191" w:name="co_fnRef_B00122051884015_ID0E5ACI_1"/>
      <w:hyperlink w:anchor="co_footnote_B00122051884015_1">
        <w:r>
          <w:rPr>
            <w:rFonts w:ascii="Times New Roman" w:hAnsi="Times New Roman"/>
            <w:color w:val="006fc4"/>
            <w:sz w:val="16"/>
            <w:vertAlign w:val="superscript"/>
          </w:rPr>
          <w:t>11</w:t>
        </w:r>
      </w:hyperlink>
      <w:bookmarkEnd w:id="191"/>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22051884015_1">
        <w:r>
          <w:rPr>
            <w:rFonts w:ascii="Times New Roman" w:hAnsi="Times New Roman"/>
            <w:b/>
            <w:color w:val="252525"/>
            <w:sz w:val="20"/>
            <w:bdr w:val="none" w:space="2"/>
            <w:vertAlign w:val="superscript"/>
          </w:rPr>
          <w:t>[22]</w:t>
        </w:r>
      </w:hyperlink>
      <w:r>
        <w:rPr>
          <w:rFonts w:ascii="Times New Roman" w:hAnsi="Times New Roman"/>
          <w:color w:val="1f1f1f"/>
          <w:sz w:val="20"/>
        </w:rPr>
        <w:t xml:space="preserve">At oral argument, Ms. Marks contended that she could have been transferred to other community corrections facilities. Oral Arg. at 33:15. But this argument did not appear in the appellate briefs, and we do not consider arguments newly hatched at oral argument. </w:t>
      </w:r>
      <w:hyperlink r:id="r199">
        <w:r>
          <w:rPr>
            <w:rFonts w:ascii="Times New Roman" w:hAnsi="Times New Roman"/>
            <w:i/>
            <w:color w:val="006fc4"/>
            <w:sz w:val="20"/>
          </w:rPr>
          <w:t>Hancock v. Trammell</w:t>
        </w:r>
        <w:r>
          <w:rPr>
            <w:rFonts w:ascii="Times New Roman" w:hAnsi="Times New Roman"/>
            <w:color w:val="006fc4"/>
            <w:sz w:val="20"/>
          </w:rPr>
          <w:t>, 798 F.3d 1002, 1017 (10th Cir. 2015)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hyperlink w:anchor="co_hn_anchor_F232051884015_1">
        <w:r>
          <w:rPr>
            <w:rFonts w:ascii="Times New Roman" w:hAnsi="Times New Roman"/>
            <w:b/>
            <w:color w:val="252525"/>
            <w:sz w:val="20"/>
            <w:bdr w:val="none" w:space="2"/>
            <w:vertAlign w:val="superscript"/>
          </w:rPr>
          <w:t>[23]</w:t>
        </w:r>
      </w:hyperlink>
      <w:r>
        <w:rPr>
          <w:rFonts w:ascii="Times New Roman" w:hAnsi="Times New Roman"/>
          <w:color w:val="1f1f1f"/>
          <w:sz w:val="20"/>
        </w:rPr>
        <w:t>Concluding that a rational basis existed for the decision to order Ms. Marks's regression, we uphold the award of summary judgment to the CDOC and CDCJ on the equal-protection claim.</w:t>
      </w:r>
      <w:bookmarkStart w:id="192" w:name="co_fnRef_B00132051884015_ID0EQDCI_1"/>
      <w:hyperlink w:anchor="co_footnote_B00132051884015_1">
        <w:r>
          <w:rPr>
            <w:rFonts w:ascii="Times New Roman" w:hAnsi="Times New Roman"/>
            <w:color w:val="006fc4"/>
            <w:sz w:val="16"/>
            <w:vertAlign w:val="superscript"/>
          </w:rPr>
          <w:t>12</w:t>
        </w:r>
      </w:hyperlink>
      <w:bookmarkEnd w:id="192"/>
    </w:p>
    <w:p>
      <w:pPr>
        <w:spacing w:before="0" w:after="0" w:line="275" w:lineRule="atLeast"/>
        <w:jc w:val="both"/>
      </w:pPr>
      <w:r>
        <w:rPr>
          <w:rFonts w:ascii="Times New Roman" w:hAnsi="Times New Roman"/>
          <w:color w:val="1f1f1f"/>
          <w:sz w:val="20"/>
        </w:rPr>
        <w:t> </w:t>
      </w:r>
    </w:p>
    <w:bookmarkStart w:id="193" w:name="co_anchor_Iebe57701483311eebf22c578e276"/>
    <w:bookmarkStart w:id="194" w:name="co_anchor_Iebe57701483311eebf22c578e2"/>
    <w:p>
      <w:pPr>
        <w:spacing w:before="400" w:after="0" w:line="275" w:lineRule="atLeast"/>
      </w:pPr>
      <w:bookmarkStart w:id="195" w:name="co_pp_sp_506_1100_1"/>
      <w:r>
        <w:rPr>
          <w:rFonts w:ascii="Times New Roman" w:hAnsi="Times New Roman"/>
          <w:b/>
          <w:color w:val="000000"/>
          <w:sz w:val="20"/>
        </w:rPr>
        <w:t>*1100</w:t>
      </w:r>
      <w:bookmarkEnd w:id="195"/>
      <w:r>
        <w:rPr>
          <w:rFonts w:ascii="Times New Roman" w:hAnsi="Times New Roman"/>
          <w:color w:val="1f1f1f"/>
          <w:sz w:val="20"/>
        </w:rPr>
        <w:t xml:space="preserve"> </w:t>
      </w:r>
      <w:r>
        <w:rPr>
          <w:rFonts w:ascii="Times New Roman" w:hAnsi="Times New Roman"/>
          <w:b/>
          <w:color w:val="1f1f1f"/>
          <w:sz w:val="20"/>
        </w:rPr>
        <w:t>5. Conclusion</w:t>
      </w:r>
    </w:p>
    <w:bookmarkEnd w:id="194"/>
    <w:bookmarkEnd w:id="193"/>
    <w:p>
      <w:pPr>
        <w:spacing w:before="0" w:after="0" w:line="275" w:lineRule="atLeast"/>
        <w:jc w:val="both"/>
      </w:pPr>
      <w:r>
        <w:rPr>
          <w:rFonts w:ascii="Times New Roman" w:hAnsi="Times New Roman"/>
          <w:color w:val="1f1f1f"/>
          <w:sz w:val="20"/>
        </w:rPr>
        <w:t>In our view, the district court correctly</w:t>
      </w:r>
    </w:p>
    <w:p>
      <w:pPr>
        <w:spacing w:before="200" w:after="0" w:line="275" w:lineRule="atLeast"/>
        <w:ind w:left="400" w:right="0" w:hanging="200"/>
        <w:jc w:val="both"/>
      </w:pPr>
      <w:r>
        <w:rPr>
          <w:rFonts w:ascii="Times New Roman" w:hAnsi="Times New Roman"/>
          <w:color w:val="1f1f1f"/>
          <w:sz w:val="20"/>
        </w:rPr>
        <w:t>• granted summary judgment to the CDOC and CDCJ on the equal-protection claim and</w:t>
      </w:r>
    </w:p>
    <w:p>
      <w:pPr>
        <w:spacing w:before="200" w:after="0" w:line="275" w:lineRule="atLeast"/>
        <w:ind w:left="400" w:right="0" w:hanging="200"/>
        <w:jc w:val="both"/>
      </w:pPr>
      <w:r>
        <w:rPr>
          <w:rFonts w:ascii="Times New Roman" w:hAnsi="Times New Roman"/>
          <w:color w:val="1f1f1f"/>
          <w:sz w:val="20"/>
        </w:rPr>
        <w:t>• dismissed the claims for prospective relief as moot.</w:t>
      </w:r>
    </w:p>
    <w:p>
      <w:pPr>
        <w:spacing w:before="200" w:after="0" w:line="275" w:lineRule="atLeast"/>
        <w:jc w:val="both"/>
      </w:pPr>
      <w:r>
        <w:rPr>
          <w:rFonts w:ascii="Times New Roman" w:hAnsi="Times New Roman"/>
          <w:color w:val="1f1f1f"/>
          <w:sz w:val="20"/>
        </w:rPr>
        <w:t>But we also conclude that the district court erred in granting summary judgment to the CDOC and CDCJ on the claims under the Rehabilitation Act and Americans with Disabilities Act. The Rehabilitation Act applies because the CDOC and CDCJ received federal funding. And a factfinder could reasonably view the community corrections program as the CDOC and CDCJ's, rendering them liable for the alleged discrimination against Ms. Marks.</w:t>
      </w:r>
      <w:bookmarkStart w:id="196" w:name="co_fnRef_B00142051884015_ID0EDHCI_1"/>
      <w:hyperlink w:anchor="co_footnote_B00142051884015_1">
        <w:r>
          <w:rPr>
            <w:rFonts w:ascii="Times New Roman" w:hAnsi="Times New Roman"/>
            <w:color w:val="006fc4"/>
            <w:sz w:val="16"/>
            <w:vertAlign w:val="superscript"/>
          </w:rPr>
          <w:t>13</w:t>
        </w:r>
      </w:hyperlink>
      <w:bookmarkEnd w:id="196"/>
      <w:r>
        <w:rPr>
          <w:rFonts w:ascii="Times New Roman" w:hAnsi="Times New Roman"/>
          <w:color w:val="1f1f1f"/>
          <w:sz w:val="20"/>
        </w:rPr>
        <w:t xml:space="preserve"> We thus reverse the entry of summary judgment and remand for further proceedings.</w:t>
      </w:r>
    </w:p>
    <w:p>
      <w:pPr>
        <w:spacing w:before="0" w:after="0" w:line="275" w:lineRule="atLeast"/>
        <w:jc w:val="both"/>
      </w:pPr>
      <w:r>
        <w:rPr>
          <w:rFonts w:ascii="Times New Roman" w:hAnsi="Times New Roman"/>
          <w:color w:val="1f1f1f"/>
          <w:sz w:val="20"/>
        </w:rPr>
        <w:t> </w:t>
      </w:r>
    </w:p>
    <w:bookmarkStart w:id="197" w:name="co_allCitations_1"/>
    <w:p>
      <w:pPr>
        <w:keepNext/>
        <w:keepLines/>
        <w:spacing w:before="200" w:after="0" w:line="275" w:lineRule="atLeast"/>
        <w:jc w:val="both"/>
      </w:pPr>
      <w:r>
        <w:rPr>
          <w:rFonts w:ascii="Times New Roman" w:hAnsi="Times New Roman"/>
          <w:b/>
          <w:color w:val="212121"/>
          <w:sz w:val="20"/>
        </w:rPr>
        <w:t>All Citations</w:t>
      </w:r>
    </w:p>
    <w:bookmarkEnd w:id="197"/>
    <w:p>
      <w:pPr>
        <w:spacing w:before="200" w:after="0" w:line="275" w:lineRule="atLeast"/>
        <w:jc w:val="both"/>
      </w:pPr>
      <w:r>
        <w:rPr>
          <w:rFonts w:ascii="Times New Roman" w:hAnsi="Times New Roman"/>
          <w:color w:val="1f1f1f"/>
          <w:sz w:val="20"/>
        </w:rPr>
        <w:t>976 F.3d 1087</w:t>
      </w:r>
    </w:p>
    <w:p>
      <w:pPr>
        <w:spacing w:before="0" w:after="0" w:line="240" w:lineRule="auto"/>
        <w:rPr>
          <w:sz w:val="60"/>
        </w:rPr>
      </w:pPr>
    </w:p>
    <w:tbl>
      <w:tblPr>
        <w:tblLayout w:type="fixed"/>
      </w:tblPr>
      <w:tblGrid>
        <w:gridCol w:w="600"/>
        <w:gridCol w:w="9450"/>
      </w:tblGrid>
      <w:bookmarkStart w:id="198"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198"/>
      <w:tr>
        <w:tblPrEx/>
        <w:trPr/>
        <w:tc>
          <w:tcPr>
            <w:vAlign w:val="top"/>
          </w:tcPr>
          <w:p>
            <w:pPr>
              <w:spacing w:before="0" w:after="0" w:line="275" w:lineRule="atLeast"/>
            </w:pPr>
            <w:bookmarkStart w:id="199" w:name="co_footnote_B00012051884015_1"/>
            <w:hyperlink w:anchor="co_fnRef_B00012051884015_ID0E2NBG_1">
              <w:r>
                <w:rPr>
                  <w:rFonts w:ascii="Times New Roman" w:hAnsi="Times New Roman"/>
                  <w:color w:val="006fc4"/>
                  <w:sz w:val="20"/>
                  <w:vertAlign w:val="superscript"/>
                </w:rPr>
                <w:t>*</w:t>
              </w:r>
            </w:hyperlink>
            <w:bookmarkEnd w:id="199"/>
          </w:p>
        </w:tc>
        <w:tc>
          <w:tcPr>
            <w:vAlign w:val="top"/>
          </w:tcPr>
          <w:p>
            <w:pPr>
              <w:pBdr>
                <w:bottom w:val="none" w:space="8"/>
              </w:pBdr>
              <w:spacing w:before="0" w:after="0" w:line="275" w:lineRule="atLeast"/>
              <w:jc w:val="both"/>
            </w:pPr>
            <w:r>
              <w:rPr>
                <w:rFonts w:ascii="Times New Roman" w:hAnsi="Times New Roman"/>
                <w:color w:val="1f1f1f"/>
                <w:sz w:val="20"/>
              </w:rPr>
              <w:t xml:space="preserve">The Honorable Monroe G. McKay participated earlier as a panel member, but he passed away before the issuance of this opinion and has not participated in the decision. “The practice of this court permits the remaining two panel judges if in agreement to act as a quorum in resolving the appeal.” </w:t>
            </w:r>
            <w:hyperlink r:id="r200">
              <w:r>
                <w:rPr>
                  <w:rFonts w:ascii="Times New Roman" w:hAnsi="Times New Roman"/>
                  <w:i/>
                  <w:color w:val="006fc4"/>
                  <w:sz w:val="20"/>
                </w:rPr>
                <w:t>United States v. Wiles</w:t>
              </w:r>
              <w:r>
                <w:rPr>
                  <w:rFonts w:ascii="Times New Roman" w:hAnsi="Times New Roman"/>
                  <w:color w:val="006fc4"/>
                  <w:sz w:val="20"/>
                </w:rPr>
                <w:t>, 106 F.3d 1516, 1516 n.* (10th Cir. 1997)</w:t>
              </w:r>
            </w:hyperlink>
            <w:r>
              <w:rPr>
                <w:rFonts w:ascii="Times New Roman" w:hAnsi="Times New Roman"/>
                <w:color w:val="1f1f1f"/>
                <w:sz w:val="20"/>
              </w:rPr>
              <w:t xml:space="preserve">; </w:t>
            </w:r>
            <w:r>
              <w:rPr>
                <w:rFonts w:ascii="Times New Roman" w:hAnsi="Times New Roman"/>
                <w:i/>
                <w:color w:val="1f1f1f"/>
                <w:sz w:val="20"/>
              </w:rPr>
              <w:t>see</w:t>
            </w:r>
            <w:r>
              <w:rPr>
                <w:rFonts w:ascii="Times New Roman" w:hAnsi="Times New Roman"/>
                <w:color w:val="1f1f1f"/>
                <w:sz w:val="20"/>
              </w:rPr>
              <w:t xml:space="preserve"> </w:t>
            </w:r>
            <w:hyperlink r:id="r201">
              <w:r>
                <w:rPr>
                  <w:rFonts w:ascii="Times New Roman" w:hAnsi="Times New Roman"/>
                  <w:color w:val="006fc4"/>
                  <w:sz w:val="20"/>
                </w:rPr>
                <w:t>28 U.S.C. § 46(d)</w:t>
              </w:r>
            </w:hyperlink>
            <w:r>
              <w:rPr>
                <w:rFonts w:ascii="Times New Roman" w:hAnsi="Times New Roman"/>
                <w:color w:val="1f1f1f"/>
                <w:sz w:val="20"/>
              </w:rPr>
              <w:t xml:space="preserve"> (“A majority of the number of judges authorized to constitute a court or panel thereof ... shall constitute a quorum.”).</w:t>
            </w:r>
          </w:p>
        </w:tc>
      </w:tr>
      <w:tr>
        <w:tblPrEx/>
        <w:trPr/>
        <w:tc>
          <w:tcPr>
            <w:vAlign w:val="top"/>
          </w:tcPr>
          <w:p>
            <w:pPr>
              <w:spacing w:before="0" w:after="0" w:line="275" w:lineRule="atLeast"/>
            </w:pPr>
            <w:bookmarkStart w:id="200" w:name="co_footnote_B00022051884015_1"/>
            <w:hyperlink w:anchor="co_fnRef_B00022051884015_ID0EUUBG_1">
              <w:r>
                <w:rPr>
                  <w:rFonts w:ascii="Times New Roman" w:hAnsi="Times New Roman"/>
                  <w:color w:val="006fc4"/>
                  <w:sz w:val="20"/>
                  <w:vertAlign w:val="superscript"/>
                </w:rPr>
                <w:t>1</w:t>
              </w:r>
            </w:hyperlink>
            <w:bookmarkEnd w:id="200"/>
          </w:p>
        </w:tc>
        <w:tc>
          <w:tcPr>
            <w:vAlign w:val="top"/>
          </w:tcPr>
          <w:p>
            <w:pPr>
              <w:pBdr>
                <w:bottom w:val="none" w:space="8"/>
              </w:pBdr>
              <w:spacing w:before="0" w:after="0" w:line="275" w:lineRule="atLeast"/>
              <w:jc w:val="both"/>
            </w:pPr>
            <w:r>
              <w:rPr>
                <w:rFonts w:ascii="Times New Roman" w:hAnsi="Times New Roman"/>
                <w:color w:val="1f1f1f"/>
                <w:sz w:val="20"/>
              </w:rPr>
              <w:t xml:space="preserve">She also sued Intervention and Jefferson County, but the appeal involves only the claims against the CDOC and CDCJ (including official-capacity claims against two CDOC officials). </w:t>
            </w:r>
            <w:r>
              <w:rPr>
                <w:rFonts w:ascii="Times New Roman" w:hAnsi="Times New Roman"/>
                <w:i/>
                <w:color w:val="1f1f1f"/>
                <w:sz w:val="20"/>
              </w:rPr>
              <w:t>See</w:t>
            </w:r>
            <w:r>
              <w:rPr>
                <w:rFonts w:ascii="Times New Roman" w:hAnsi="Times New Roman"/>
                <w:color w:val="1f1f1f"/>
                <w:sz w:val="20"/>
              </w:rPr>
              <w:t xml:space="preserve"> n.3, below.</w:t>
            </w:r>
          </w:p>
        </w:tc>
      </w:tr>
      <w:tr>
        <w:tblPrEx/>
        <w:trPr/>
        <w:tc>
          <w:tcPr>
            <w:vAlign w:val="top"/>
          </w:tcPr>
          <w:p>
            <w:pPr>
              <w:spacing w:before="0" w:after="0" w:line="275" w:lineRule="atLeast"/>
            </w:pPr>
            <w:bookmarkStart w:id="201" w:name="co_footnote_B00032051884015_1"/>
            <w:hyperlink w:anchor="co_fnRef_B00032051884015_ID0EN3BG_1">
              <w:r>
                <w:rPr>
                  <w:rFonts w:ascii="Times New Roman" w:hAnsi="Times New Roman"/>
                  <w:color w:val="006fc4"/>
                  <w:sz w:val="20"/>
                  <w:vertAlign w:val="superscript"/>
                </w:rPr>
                <w:t>2</w:t>
              </w:r>
            </w:hyperlink>
            <w:bookmarkEnd w:id="201"/>
          </w:p>
        </w:tc>
        <w:tc>
          <w:tcPr>
            <w:vAlign w:val="top"/>
          </w:tcPr>
          <w:p>
            <w:pPr>
              <w:pBdr>
                <w:bottom w:val="none" w:space="8"/>
              </w:pBdr>
              <w:spacing w:before="0" w:after="0" w:line="275" w:lineRule="atLeast"/>
              <w:jc w:val="both"/>
            </w:pPr>
            <w:r>
              <w:rPr>
                <w:rFonts w:ascii="Times New Roman" w:hAnsi="Times New Roman"/>
                <w:color w:val="1f1f1f"/>
                <w:sz w:val="20"/>
              </w:rPr>
              <w:t xml:space="preserve">State law also required community corrections programs to satisfy the CDCJ's standards. </w:t>
            </w:r>
            <w:hyperlink r:id="r202">
              <w:r>
                <w:rPr>
                  <w:rFonts w:ascii="Times New Roman" w:hAnsi="Times New Roman"/>
                  <w:color w:val="006fc4"/>
                  <w:sz w:val="20"/>
                </w:rPr>
                <w:t>Colo. Rev. Stat. § 17-27-103(4) (2013)</w:t>
              </w:r>
            </w:hyperlink>
            <w:r>
              <w:rPr>
                <w:rFonts w:ascii="Times New Roman" w:hAnsi="Times New Roman"/>
                <w:color w:val="1f1f1f"/>
                <w:sz w:val="20"/>
              </w:rPr>
              <w:t>.</w:t>
            </w:r>
          </w:p>
        </w:tc>
      </w:tr>
      <w:tr>
        <w:tblPrEx/>
        <w:trPr/>
        <w:tc>
          <w:tcPr>
            <w:vAlign w:val="top"/>
          </w:tcPr>
          <w:p>
            <w:pPr>
              <w:spacing w:before="0" w:after="0" w:line="275" w:lineRule="atLeast"/>
            </w:pPr>
            <w:bookmarkStart w:id="202" w:name="co_footnote_B00042051884015_1"/>
            <w:hyperlink w:anchor="co_fnRef_B00042051884015_ID0EDCAI_1">
              <w:r>
                <w:rPr>
                  <w:rFonts w:ascii="Times New Roman" w:hAnsi="Times New Roman"/>
                  <w:color w:val="006fc4"/>
                  <w:sz w:val="20"/>
                  <w:vertAlign w:val="superscript"/>
                </w:rPr>
                <w:t>3</w:t>
              </w:r>
            </w:hyperlink>
            <w:bookmarkEnd w:id="202"/>
          </w:p>
        </w:tc>
        <w:tc>
          <w:tcPr>
            <w:vAlign w:val="top"/>
          </w:tcPr>
          <w:p>
            <w:pPr>
              <w:pBdr>
                <w:bottom w:val="none" w:space="8"/>
              </w:pBdr>
              <w:spacing w:before="0" w:after="0" w:line="275" w:lineRule="atLeast"/>
              <w:jc w:val="both"/>
            </w:pPr>
            <w:r>
              <w:rPr>
                <w:rFonts w:ascii="Times New Roman" w:hAnsi="Times New Roman"/>
                <w:color w:val="1f1f1f"/>
                <w:sz w:val="20"/>
              </w:rPr>
              <w:t xml:space="preserve">Though Ms. Marks also sued Jefferson County and Intervention, she later stipulated to dismissal of the claims against these parties. </w:t>
            </w:r>
            <w:r>
              <w:rPr>
                <w:rFonts w:ascii="Times New Roman" w:hAnsi="Times New Roman"/>
                <w:i/>
                <w:color w:val="1f1f1f"/>
                <w:sz w:val="20"/>
              </w:rPr>
              <w:t>See</w:t>
            </w:r>
            <w:r>
              <w:rPr>
                <w:rFonts w:ascii="Times New Roman" w:hAnsi="Times New Roman"/>
                <w:color w:val="1f1f1f"/>
                <w:sz w:val="20"/>
              </w:rPr>
              <w:t xml:space="preserve"> n.1, above.</w:t>
            </w:r>
          </w:p>
        </w:tc>
      </w:tr>
      <w:tr>
        <w:tblPrEx/>
        <w:trPr/>
        <w:tc>
          <w:tcPr>
            <w:vAlign w:val="top"/>
          </w:tcPr>
          <w:p>
            <w:pPr>
              <w:spacing w:before="0" w:after="0" w:line="275" w:lineRule="atLeast"/>
            </w:pPr>
            <w:bookmarkStart w:id="203" w:name="co_footnote_B00052051884015_1"/>
            <w:hyperlink w:anchor="co_fnRef_B00052051884015_ID0EH4AI_1">
              <w:r>
                <w:rPr>
                  <w:rFonts w:ascii="Times New Roman" w:hAnsi="Times New Roman"/>
                  <w:color w:val="006fc4"/>
                  <w:sz w:val="20"/>
                  <w:vertAlign w:val="superscript"/>
                </w:rPr>
                <w:t>4</w:t>
              </w:r>
            </w:hyperlink>
            <w:bookmarkEnd w:id="203"/>
          </w:p>
        </w:tc>
        <w:tc>
          <w:tcPr>
            <w:vAlign w:val="top"/>
          </w:tcPr>
          <w:p>
            <w:pPr>
              <w:pBdr>
                <w:bottom w:val="none" w:space="8"/>
              </w:pBdr>
              <w:spacing w:before="0" w:after="0" w:line="275" w:lineRule="atLeast"/>
              <w:jc w:val="both"/>
            </w:pPr>
            <w:r>
              <w:rPr>
                <w:rFonts w:ascii="Times New Roman" w:hAnsi="Times New Roman"/>
                <w:color w:val="1f1f1f"/>
                <w:sz w:val="20"/>
              </w:rPr>
              <w:t>This section was amended on July 22, 2014, after Ms. Marks's regression to prison. But this amendment does not affect the outcome.</w:t>
            </w:r>
          </w:p>
        </w:tc>
      </w:tr>
      <w:tr>
        <w:tblPrEx/>
        <w:trPr/>
        <w:tc>
          <w:tcPr>
            <w:vAlign w:val="top"/>
          </w:tcPr>
          <w:p>
            <w:pPr>
              <w:spacing w:before="0" w:after="0" w:line="275" w:lineRule="atLeast"/>
            </w:pPr>
            <w:bookmarkStart w:id="204" w:name="co_footnote_B00062051884015_1"/>
            <w:hyperlink w:anchor="co_fnRef_B00062051884015_ID0ENJBI_1">
              <w:r>
                <w:rPr>
                  <w:rFonts w:ascii="Times New Roman" w:hAnsi="Times New Roman"/>
                  <w:color w:val="006fc4"/>
                  <w:sz w:val="20"/>
                  <w:vertAlign w:val="superscript"/>
                </w:rPr>
                <w:t>5</w:t>
              </w:r>
            </w:hyperlink>
            <w:bookmarkEnd w:id="204"/>
          </w:p>
        </w:tc>
        <w:tc>
          <w:tcPr>
            <w:vAlign w:val="top"/>
          </w:tcPr>
          <w:p>
            <w:pPr>
              <w:pBdr>
                <w:bottom w:val="none" w:space="8"/>
              </w:pBdr>
              <w:spacing w:before="0" w:after="0" w:line="275" w:lineRule="atLeast"/>
              <w:jc w:val="both"/>
            </w:pPr>
            <w:r>
              <w:rPr>
                <w:rFonts w:ascii="Times New Roman" w:hAnsi="Times New Roman"/>
                <w:color w:val="1f1f1f"/>
                <w:sz w:val="20"/>
              </w:rPr>
              <w:t xml:space="preserve">These regulations carry the force of law. </w:t>
            </w:r>
            <w:r>
              <w:rPr>
                <w:rFonts w:ascii="Times New Roman" w:hAnsi="Times New Roman"/>
                <w:i/>
                <w:color w:val="1f1f1f"/>
                <w:sz w:val="20"/>
              </w:rPr>
              <w:t xml:space="preserve">See </w:t>
            </w:r>
            <w:hyperlink r:id="r203">
              <w:r>
                <w:rPr>
                  <w:rFonts w:ascii="Times New Roman" w:hAnsi="Times New Roman"/>
                  <w:i/>
                  <w:color w:val="006fc4"/>
                  <w:sz w:val="20"/>
                </w:rPr>
                <w:t>Marcus v. Kan. Dep't of Revenue</w:t>
              </w:r>
              <w:r>
                <w:rPr>
                  <w:rFonts w:ascii="Times New Roman" w:hAnsi="Times New Roman"/>
                  <w:color w:val="006fc4"/>
                  <w:sz w:val="20"/>
                </w:rPr>
                <w:t>, 170 F.3d 1305, 1306 n.1 (10th Cir. 1999)</w:t>
              </w:r>
            </w:hyperlink>
            <w:r>
              <w:rPr>
                <w:rFonts w:ascii="Times New Roman" w:hAnsi="Times New Roman"/>
                <w:color w:val="1f1f1f"/>
                <w:sz w:val="20"/>
              </w:rPr>
              <w:t xml:space="preserve"> (stating that regulations implementing the Americans with Disabilities Act have the force of law).</w:t>
            </w:r>
          </w:p>
        </w:tc>
      </w:tr>
      <w:tr>
        <w:tblPrEx/>
        <w:trPr/>
        <w:tc>
          <w:tcPr>
            <w:vAlign w:val="top"/>
          </w:tcPr>
          <w:p>
            <w:pPr>
              <w:spacing w:before="0" w:after="0" w:line="275" w:lineRule="atLeast"/>
            </w:pPr>
            <w:bookmarkStart w:id="205" w:name="co_footnote_B00072051884015_1"/>
            <w:hyperlink w:anchor="co_fnRef_B00072051884015_ID0EHMBI_1">
              <w:r>
                <w:rPr>
                  <w:rFonts w:ascii="Times New Roman" w:hAnsi="Times New Roman"/>
                  <w:color w:val="006fc4"/>
                  <w:sz w:val="20"/>
                  <w:vertAlign w:val="superscript"/>
                </w:rPr>
                <w:t>6</w:t>
              </w:r>
            </w:hyperlink>
            <w:bookmarkEnd w:id="205"/>
          </w:p>
        </w:tc>
        <w:tc>
          <w:tcPr>
            <w:vAlign w:val="top"/>
          </w:tcPr>
          <w:p>
            <w:pPr>
              <w:pBdr>
                <w:bottom w:val="none" w:space="8"/>
              </w:pBdr>
              <w:spacing w:before="0" w:after="0" w:line="275" w:lineRule="atLeast"/>
              <w:jc w:val="both"/>
            </w:pPr>
            <w:r>
              <w:rPr>
                <w:rFonts w:ascii="Times New Roman" w:hAnsi="Times New Roman"/>
                <w:color w:val="1f1f1f"/>
                <w:sz w:val="20"/>
              </w:rPr>
              <w:t xml:space="preserve">In </w:t>
            </w:r>
            <w:hyperlink r:id="r204">
              <w:r>
                <w:rPr>
                  <w:rFonts w:ascii="Times New Roman" w:hAnsi="Times New Roman"/>
                  <w:i/>
                  <w:color w:val="006fc4"/>
                  <w:sz w:val="20"/>
                </w:rPr>
                <w:t>Phillips</w:t>
              </w:r>
            </w:hyperlink>
            <w:r>
              <w:rPr>
                <w:rFonts w:ascii="Times New Roman" w:hAnsi="Times New Roman"/>
                <w:color w:val="1f1f1f"/>
                <w:sz w:val="20"/>
              </w:rPr>
              <w:t xml:space="preserve">, we discussed a potential claim against the state for a private prison operator's discrimination against an inmate. </w:t>
            </w:r>
            <w:hyperlink r:id="r205">
              <w:r>
                <w:rPr>
                  <w:rFonts w:ascii="Times New Roman" w:hAnsi="Times New Roman"/>
                  <w:color w:val="006fc4"/>
                  <w:sz w:val="20"/>
                </w:rPr>
                <w:t>508 F. App'x at 739</w:t>
              </w:r>
            </w:hyperlink>
            <w:r>
              <w:rPr>
                <w:rFonts w:ascii="Times New Roman" w:hAnsi="Times New Roman"/>
                <w:color w:val="1f1f1f"/>
                <w:sz w:val="20"/>
              </w:rPr>
              <w:t xml:space="preserve">. We noted that the private nature of the operator should not materially affect liability because the Americans with Disabilities Act's regulations suggest that states can't use contracts to sidestep obligations to disabled inmates. </w:t>
            </w:r>
            <w:hyperlink r:id="r206">
              <w:r>
                <w:rPr>
                  <w:rFonts w:ascii="Times New Roman" w:hAnsi="Times New Roman"/>
                  <w:i/>
                  <w:color w:val="006fc4"/>
                  <w:sz w:val="20"/>
                </w:rPr>
                <w:t>Id.</w:t>
              </w:r>
              <w:r>
                <w:rPr>
                  <w:rFonts w:ascii="Times New Roman" w:hAnsi="Times New Roman"/>
                  <w:color w:val="006fc4"/>
                  <w:sz w:val="20"/>
                </w:rPr>
                <w:t xml:space="preserve"> at 753</w:t>
              </w:r>
            </w:hyperlink>
            <w:r>
              <w:rPr>
                <w:rFonts w:ascii="Times New Roman" w:hAnsi="Times New Roman"/>
                <w:color w:val="1f1f1f"/>
                <w:sz w:val="20"/>
              </w:rPr>
              <w:t>.</w:t>
            </w:r>
          </w:p>
        </w:tc>
      </w:tr>
      <w:tr>
        <w:tblPrEx/>
        <w:trPr/>
        <w:tc>
          <w:tcPr>
            <w:vAlign w:val="top"/>
          </w:tcPr>
          <w:p>
            <w:pPr>
              <w:spacing w:before="0" w:after="0" w:line="275" w:lineRule="atLeast"/>
            </w:pPr>
            <w:bookmarkStart w:id="206" w:name="co_footnote_B00082051884015_1"/>
            <w:hyperlink w:anchor="co_fnRef_B00082051884015_ID0E2MBI_1">
              <w:r>
                <w:rPr>
                  <w:rFonts w:ascii="Times New Roman" w:hAnsi="Times New Roman"/>
                  <w:color w:val="006fc4"/>
                  <w:sz w:val="20"/>
                  <w:vertAlign w:val="superscript"/>
                </w:rPr>
                <w:t>7</w:t>
              </w:r>
            </w:hyperlink>
            <w:bookmarkEnd w:id="206"/>
          </w:p>
        </w:tc>
        <w:tc>
          <w:tcPr>
            <w:vAlign w:val="top"/>
          </w:tcPr>
          <w:p>
            <w:pPr>
              <w:pBdr>
                <w:bottom w:val="none" w:space="8"/>
              </w:pBdr>
              <w:spacing w:before="0" w:after="0" w:line="275" w:lineRule="atLeast"/>
              <w:jc w:val="both"/>
            </w:pPr>
            <w:r>
              <w:rPr>
                <w:rFonts w:ascii="Times New Roman" w:hAnsi="Times New Roman"/>
                <w:color w:val="1f1f1f"/>
                <w:sz w:val="20"/>
              </w:rPr>
              <w:t xml:space="preserve">The CDOC and CDCJ argue that </w:t>
            </w:r>
            <w:hyperlink r:id="r207">
              <w:r>
                <w:rPr>
                  <w:rFonts w:ascii="Times New Roman" w:hAnsi="Times New Roman"/>
                  <w:i/>
                  <w:color w:val="006fc4"/>
                  <w:sz w:val="20"/>
                </w:rPr>
                <w:t>Armstrong</w:t>
              </w:r>
            </w:hyperlink>
            <w:r>
              <w:rPr>
                <w:rFonts w:ascii="Times New Roman" w:hAnsi="Times New Roman"/>
                <w:color w:val="1f1f1f"/>
                <w:sz w:val="20"/>
              </w:rPr>
              <w:t xml:space="preserve"> is distinguishable because in that case “[t]here was no dispute that the state had the obligation to house the prisoners in the first instance, so it was contracting out its actual authority over those prisoners to third parties.” Appellees’ Resp. Br. at 23. But the same is true here. Even when Ms. Marks participated in community corrections, the CDOC retained the obligation to house her.</w:t>
            </w:r>
          </w:p>
        </w:tc>
      </w:tr>
      <w:tr>
        <w:tblPrEx/>
        <w:trPr/>
        <w:tc>
          <w:tcPr>
            <w:vAlign w:val="top"/>
          </w:tcPr>
          <w:p>
            <w:pPr>
              <w:spacing w:before="0" w:after="0" w:line="275" w:lineRule="atLeast"/>
            </w:pPr>
            <w:bookmarkStart w:id="207" w:name="co_footnote_B00092051884015_1"/>
            <w:hyperlink w:anchor="co_fnRef_B00092051884015_ID0EPQBI_1">
              <w:r>
                <w:rPr>
                  <w:rFonts w:ascii="Times New Roman" w:hAnsi="Times New Roman"/>
                  <w:color w:val="006fc4"/>
                  <w:sz w:val="20"/>
                  <w:vertAlign w:val="superscript"/>
                </w:rPr>
                <w:t>8</w:t>
              </w:r>
            </w:hyperlink>
            <w:bookmarkEnd w:id="207"/>
          </w:p>
        </w:tc>
        <w:tc>
          <w:tcPr>
            <w:vAlign w:val="top"/>
          </w:tcPr>
          <w:p>
            <w:pPr>
              <w:pBdr>
                <w:bottom w:val="none" w:space="8"/>
              </w:pBdr>
              <w:spacing w:before="0" w:after="0" w:line="275" w:lineRule="atLeast"/>
              <w:jc w:val="both"/>
            </w:pPr>
            <w:r>
              <w:rPr>
                <w:rFonts w:ascii="Times New Roman" w:hAnsi="Times New Roman"/>
                <w:color w:val="1f1f1f"/>
                <w:sz w:val="20"/>
              </w:rPr>
              <w:t>Ms. Marks relied on the 2011 version of the regulation. Appellant's App'x, vol. 2, at 475–80.</w:t>
            </w:r>
          </w:p>
        </w:tc>
      </w:tr>
      <w:tr>
        <w:tblPrEx/>
        <w:trPr/>
        <w:tc>
          <w:tcPr>
            <w:vAlign w:val="top"/>
          </w:tcPr>
          <w:p>
            <w:pPr>
              <w:spacing w:before="0" w:after="0" w:line="275" w:lineRule="atLeast"/>
            </w:pPr>
            <w:bookmarkStart w:id="208" w:name="co_footnote_B00102051884015_1"/>
            <w:hyperlink w:anchor="co_fnRef_B00102051884015_ID0EWQBI_1">
              <w:r>
                <w:rPr>
                  <w:rFonts w:ascii="Times New Roman" w:hAnsi="Times New Roman"/>
                  <w:color w:val="006fc4"/>
                  <w:sz w:val="20"/>
                  <w:vertAlign w:val="superscript"/>
                </w:rPr>
                <w:t>9</w:t>
              </w:r>
            </w:hyperlink>
            <w:bookmarkEnd w:id="208"/>
          </w:p>
        </w:tc>
        <w:tc>
          <w:tcPr>
            <w:vAlign w:val="top"/>
          </w:tcPr>
          <w:p>
            <w:pPr>
              <w:pBdr>
                <w:bottom w:val="none" w:space="8"/>
              </w:pBdr>
              <w:spacing w:before="0" w:after="0" w:line="275" w:lineRule="atLeast"/>
              <w:jc w:val="both"/>
            </w:pPr>
            <w:r>
              <w:rPr>
                <w:rFonts w:ascii="Times New Roman" w:hAnsi="Times New Roman"/>
                <w:color w:val="1f1f1f"/>
                <w:sz w:val="20"/>
              </w:rPr>
              <w:t>Though the CDOC made the referrals, Intervention could decide whether to accept the inmate into community corrections or regress the inmate to prison.</w:t>
            </w:r>
          </w:p>
        </w:tc>
      </w:tr>
      <w:tr>
        <w:tblPrEx/>
        <w:trPr/>
        <w:tc>
          <w:tcPr>
            <w:vAlign w:val="top"/>
          </w:tcPr>
          <w:p>
            <w:pPr>
              <w:spacing w:before="0" w:after="0" w:line="275" w:lineRule="atLeast"/>
            </w:pPr>
            <w:bookmarkStart w:id="209" w:name="co_footnote_B00112051884015_1"/>
            <w:hyperlink w:anchor="co_fnRef_B00112051884015_ID0E3RBI_1">
              <w:r>
                <w:rPr>
                  <w:rFonts w:ascii="Times New Roman" w:hAnsi="Times New Roman"/>
                  <w:color w:val="006fc4"/>
                  <w:sz w:val="20"/>
                  <w:vertAlign w:val="superscript"/>
                </w:rPr>
                <w:t>10</w:t>
              </w:r>
            </w:hyperlink>
            <w:bookmarkEnd w:id="209"/>
          </w:p>
        </w:tc>
        <w:tc>
          <w:tcPr>
            <w:vAlign w:val="top"/>
          </w:tcPr>
          <w:p>
            <w:pPr>
              <w:pBdr>
                <w:bottom w:val="none" w:space="8"/>
              </w:pBdr>
              <w:spacing w:before="0" w:after="0" w:line="275" w:lineRule="atLeast"/>
              <w:jc w:val="both"/>
            </w:pPr>
            <w:r>
              <w:rPr>
                <w:rFonts w:ascii="Times New Roman" w:hAnsi="Times New Roman"/>
                <w:color w:val="1f1f1f"/>
                <w:sz w:val="20"/>
              </w:rPr>
              <w:t>The defendants also argue that even if the evidence of state oversight had otherwise sufficed, the claims for damages would fail based on the absence of intentional conduct. Though this argument might ultimately prevail, we cannot address it here.</w:t>
            </w:r>
          </w:p>
          <w:p>
            <w:pPr>
              <w:pBdr>
                <w:bottom w:val="none" w:space="8"/>
              </w:pBdr>
              <w:spacing w:before="0" w:after="0" w:line="275" w:lineRule="atLeast"/>
              <w:jc w:val="both"/>
            </w:pPr>
            <w:r>
              <w:rPr>
                <w:rFonts w:ascii="Times New Roman" w:hAnsi="Times New Roman"/>
                <w:color w:val="1f1f1f"/>
                <w:sz w:val="20"/>
              </w:rPr>
              <w:t xml:space="preserve">The parties agree that intentional discrimination is required for a plaintiff to obtain compensatory damages under the Rehabilitation Act or the Americans with Disabilities Act. </w:t>
            </w:r>
            <w:r>
              <w:rPr>
                <w:rFonts w:ascii="Times New Roman" w:hAnsi="Times New Roman"/>
                <w:i/>
                <w:color w:val="1f1f1f"/>
                <w:sz w:val="20"/>
              </w:rPr>
              <w:t xml:space="preserve">See </w:t>
            </w:r>
            <w:hyperlink r:id="r208">
              <w:r>
                <w:rPr>
                  <w:rFonts w:ascii="Times New Roman" w:hAnsi="Times New Roman"/>
                  <w:i/>
                  <w:color w:val="006fc4"/>
                  <w:sz w:val="20"/>
                </w:rPr>
                <w:t>Barber ex rel. Barber v. Colo. Dep't of Revenue</w:t>
              </w:r>
              <w:r>
                <w:rPr>
                  <w:rFonts w:ascii="Times New Roman" w:hAnsi="Times New Roman"/>
                  <w:color w:val="006fc4"/>
                  <w:sz w:val="20"/>
                </w:rPr>
                <w:t>, 562 F.3d 1222, 1228 (10th Cir. 2009)</w:t>
              </w:r>
            </w:hyperlink>
            <w:r>
              <w:rPr>
                <w:rFonts w:ascii="Times New Roman" w:hAnsi="Times New Roman"/>
                <w:color w:val="1f1f1f"/>
                <w:sz w:val="20"/>
              </w:rPr>
              <w:t xml:space="preserve"> (“To recover compensatory damages under § 504 [of the Rehabilitation Act], a plaintiff must establish that the agency's discrimination was intentional.”); </w:t>
            </w:r>
            <w:r>
              <w:rPr>
                <w:rFonts w:ascii="Times New Roman" w:hAnsi="Times New Roman"/>
                <w:i/>
                <w:color w:val="1f1f1f"/>
                <w:sz w:val="20"/>
              </w:rPr>
              <w:t xml:space="preserve">see also </w:t>
            </w:r>
            <w:hyperlink r:id="r209">
              <w:r>
                <w:rPr>
                  <w:rFonts w:ascii="Times New Roman" w:hAnsi="Times New Roman"/>
                  <w:i/>
                  <w:color w:val="006fc4"/>
                  <w:sz w:val="20"/>
                </w:rPr>
                <w:t>Hamer v. City of Trinidad</w:t>
              </w:r>
              <w:r>
                <w:rPr>
                  <w:rFonts w:ascii="Times New Roman" w:hAnsi="Times New Roman"/>
                  <w:color w:val="006fc4"/>
                  <w:sz w:val="20"/>
                </w:rPr>
                <w:t>, 924 F.3d 1093, 1108–09 (10th Cir. 2019)</w:t>
              </w:r>
            </w:hyperlink>
            <w:r>
              <w:rPr>
                <w:rFonts w:ascii="Times New Roman" w:hAnsi="Times New Roman"/>
                <w:color w:val="1f1f1f"/>
                <w:sz w:val="20"/>
              </w:rPr>
              <w:t xml:space="preserve"> (suggesting that intentional discrimination is required to recover compensatory damages under the Americans with Disabilities Act), </w:t>
            </w:r>
            <w:r>
              <w:rPr>
                <w:rFonts w:ascii="Times New Roman" w:hAnsi="Times New Roman"/>
                <w:i/>
                <w:color w:val="1f1f1f"/>
                <w:sz w:val="20"/>
              </w:rPr>
              <w:t xml:space="preserve">cert. denied sub nom. </w:t>
            </w:r>
            <w:hyperlink r:id="r210">
              <w:r>
                <w:rPr>
                  <w:rFonts w:ascii="Times New Roman" w:hAnsi="Times New Roman"/>
                  <w:i/>
                  <w:color w:val="006fc4"/>
                  <w:sz w:val="20"/>
                </w:rPr>
                <w:t>City of Trinidad v. Hamer</w:t>
              </w:r>
              <w:r>
                <w:rPr>
                  <w:rFonts w:ascii="Times New Roman" w:hAnsi="Times New Roman"/>
                  <w:color w:val="006fc4"/>
                  <w:sz w:val="20"/>
                </w:rPr>
                <w:t>, ––– U.S. ––––, 140 S. Ct. 644, 205 L.Ed.2d 386 (2019)</w:t>
              </w:r>
            </w:hyperlink>
            <w:r>
              <w:rPr>
                <w:rFonts w:ascii="Times New Roman" w:hAnsi="Times New Roman"/>
                <w:color w:val="1f1f1f"/>
                <w:sz w:val="20"/>
              </w:rPr>
              <w:t xml:space="preserve">; </w:t>
            </w:r>
            <w:hyperlink r:id="r211">
              <w:r>
                <w:rPr>
                  <w:rFonts w:ascii="Times New Roman" w:hAnsi="Times New Roman"/>
                  <w:i/>
                  <w:color w:val="006fc4"/>
                  <w:sz w:val="20"/>
                </w:rPr>
                <w:t>Hans v. Bd. of Shawnee Cty. Comm'rs</w:t>
              </w:r>
              <w:r>
                <w:rPr>
                  <w:rFonts w:ascii="Times New Roman" w:hAnsi="Times New Roman"/>
                  <w:color w:val="006fc4"/>
                  <w:sz w:val="20"/>
                </w:rPr>
                <w:t>, 775 F. App'x 953, 956 (10th Cir. 2019)</w:t>
              </w:r>
            </w:hyperlink>
            <w:r>
              <w:rPr>
                <w:rFonts w:ascii="Times New Roman" w:hAnsi="Times New Roman"/>
                <w:color w:val="1f1f1f"/>
                <w:sz w:val="20"/>
              </w:rPr>
              <w:t xml:space="preserve"> (unpublished) (concluding that intentional discrimination is required to recover compensatory damages under the Americans with Disabilities Act). So in the absence of intentional discrimination against Ms. Marks, the parties agree that CDOC and CDCJ would not incur statutory liability for compensatory damages. But the district court didn't decide the issue.</w:t>
            </w:r>
          </w:p>
          <w:p>
            <w:pPr>
              <w:pBdr>
                <w:bottom w:val="none" w:space="8"/>
              </w:pBdr>
              <w:spacing w:before="0" w:after="0" w:line="275" w:lineRule="atLeast"/>
              <w:jc w:val="both"/>
            </w:pPr>
            <w:r>
              <w:rPr>
                <w:rFonts w:ascii="Times New Roman" w:hAnsi="Times New Roman"/>
                <w:color w:val="1f1f1f"/>
                <w:sz w:val="20"/>
              </w:rPr>
              <w:t>The court did conclude that the CDOC and CDCJ weren't liable for compensatory damages because they couldn't prevent Intervention from regressing Ms. Marks. But that conclusion pertained to the agencies’ responsibility for the program—not the existence of intentional conduct.</w:t>
            </w:r>
          </w:p>
          <w:p>
            <w:pPr>
              <w:pBdr>
                <w:bottom w:val="none" w:space="8"/>
              </w:pBdr>
              <w:spacing w:before="0" w:after="0" w:line="275" w:lineRule="atLeast"/>
              <w:jc w:val="both"/>
            </w:pPr>
            <w:r>
              <w:rPr>
                <w:rFonts w:ascii="Times New Roman" w:hAnsi="Times New Roman"/>
                <w:color w:val="1f1f1f"/>
                <w:sz w:val="20"/>
              </w:rPr>
              <w:t>On appeal, the CDOC and CDCJ conflate the issues involving (1) responsibility for the program with (2) the element of intentional discrimination: “The State Defendants cannot be liable for intentional discrimination against Marks, because the decision to regress Marks from ICCS was made without the authority or consent of the State Defendants.” Appellees’ Resp. Br. at 17. But responsibility for the program and intentional discrimination are separate issues, and the district court didn't decide whether the CDOC or CDCJ had intentionally discriminated against Ms. Marks. So we express no opinion on whether the existing evidence would create a factual issue on the element of intentional conduct.</w:t>
            </w:r>
          </w:p>
        </w:tc>
      </w:tr>
      <w:tr>
        <w:tblPrEx/>
        <w:trPr/>
        <w:tc>
          <w:tcPr>
            <w:vAlign w:val="top"/>
          </w:tcPr>
          <w:p>
            <w:pPr>
              <w:spacing w:before="0" w:after="0" w:line="275" w:lineRule="atLeast"/>
            </w:pPr>
            <w:bookmarkStart w:id="210" w:name="co_footnote_B00122051884015_1"/>
            <w:hyperlink w:anchor="co_fnRef_B00122051884015_ID0E5ACI_1">
              <w:r>
                <w:rPr>
                  <w:rFonts w:ascii="Times New Roman" w:hAnsi="Times New Roman"/>
                  <w:color w:val="006fc4"/>
                  <w:sz w:val="20"/>
                  <w:vertAlign w:val="superscript"/>
                </w:rPr>
                <w:t>11</w:t>
              </w:r>
            </w:hyperlink>
            <w:bookmarkEnd w:id="210"/>
          </w:p>
        </w:tc>
        <w:tc>
          <w:tcPr>
            <w:vAlign w:val="top"/>
          </w:tcPr>
          <w:p>
            <w:pPr>
              <w:pBdr>
                <w:bottom w:val="none" w:space="8"/>
              </w:pBdr>
              <w:spacing w:before="0" w:after="0" w:line="275" w:lineRule="atLeast"/>
              <w:jc w:val="both"/>
            </w:pPr>
            <w:r>
              <w:rPr>
                <w:rFonts w:ascii="Times New Roman" w:hAnsi="Times New Roman"/>
                <w:color w:val="1f1f1f"/>
                <w:sz w:val="20"/>
              </w:rPr>
              <w:t xml:space="preserve">Our scrutiny of the equal-protection claim under the rational-basis standard does not bear on whether the regression violated the Americans with Disabilities Act or the Rehabilitation Act. </w:t>
            </w:r>
            <w:r>
              <w:rPr>
                <w:rFonts w:ascii="Times New Roman" w:hAnsi="Times New Roman"/>
                <w:i/>
                <w:color w:val="1f1f1f"/>
                <w:sz w:val="20"/>
              </w:rPr>
              <w:t xml:space="preserve">See </w:t>
            </w:r>
            <w:hyperlink r:id="r212">
              <w:r>
                <w:rPr>
                  <w:rFonts w:ascii="Times New Roman" w:hAnsi="Times New Roman"/>
                  <w:i/>
                  <w:color w:val="006fc4"/>
                  <w:sz w:val="20"/>
                </w:rPr>
                <w:t>Pushkin v. Regents of Univ. of Colo.</w:t>
              </w:r>
              <w:r>
                <w:rPr>
                  <w:rFonts w:ascii="Times New Roman" w:hAnsi="Times New Roman"/>
                  <w:color w:val="006fc4"/>
                  <w:sz w:val="20"/>
                </w:rPr>
                <w:t>, 658 F.2d 1372, 1383 (10th Cir. 1981)</w:t>
              </w:r>
            </w:hyperlink>
            <w:r>
              <w:rPr>
                <w:rFonts w:ascii="Times New Roman" w:hAnsi="Times New Roman"/>
                <w:color w:val="1f1f1f"/>
                <w:sz w:val="20"/>
              </w:rPr>
              <w:t xml:space="preserve"> (stating that the rationality of an employer's conduct does not prohibit liability under the Rehabilitation Act).</w:t>
            </w:r>
          </w:p>
        </w:tc>
      </w:tr>
      <w:tr>
        <w:tblPrEx/>
        <w:trPr/>
        <w:tc>
          <w:tcPr>
            <w:vAlign w:val="top"/>
          </w:tcPr>
          <w:p>
            <w:pPr>
              <w:spacing w:before="0" w:after="0" w:line="275" w:lineRule="atLeast"/>
            </w:pPr>
            <w:bookmarkStart w:id="211" w:name="co_footnote_B00132051884015_1"/>
            <w:hyperlink w:anchor="co_fnRef_B00132051884015_ID0EQDCI_1">
              <w:r>
                <w:rPr>
                  <w:rFonts w:ascii="Times New Roman" w:hAnsi="Times New Roman"/>
                  <w:color w:val="006fc4"/>
                  <w:sz w:val="20"/>
                  <w:vertAlign w:val="superscript"/>
                </w:rPr>
                <w:t>12</w:t>
              </w:r>
            </w:hyperlink>
            <w:bookmarkEnd w:id="211"/>
          </w:p>
        </w:tc>
        <w:tc>
          <w:tcPr>
            <w:vAlign w:val="top"/>
          </w:tcPr>
          <w:p>
            <w:pPr>
              <w:pBdr>
                <w:bottom w:val="none" w:space="8"/>
              </w:pBdr>
              <w:spacing w:before="0" w:after="0" w:line="275" w:lineRule="atLeast"/>
              <w:jc w:val="both"/>
            </w:pPr>
            <w:r>
              <w:rPr>
                <w:rFonts w:ascii="Times New Roman" w:hAnsi="Times New Roman"/>
                <w:color w:val="1f1f1f"/>
                <w:sz w:val="20"/>
              </w:rPr>
              <w:t xml:space="preserve">The CDOC and CDCJ also argue that even if Ms. Marks's equal-protection claim would otherwise succeed, her only remaining remedy—monetary damages—would be unavailable under the Eleventh Amendment. Money damages are unavailable against state officials sued in their official capacities. </w:t>
            </w:r>
            <w:hyperlink r:id="r213">
              <w:r>
                <w:rPr>
                  <w:rFonts w:ascii="Times New Roman" w:hAnsi="Times New Roman"/>
                  <w:i/>
                  <w:color w:val="006fc4"/>
                  <w:sz w:val="20"/>
                </w:rPr>
                <w:t>Will v. Mich. Dep't of State Police</w:t>
              </w:r>
              <w:r>
                <w:rPr>
                  <w:rFonts w:ascii="Times New Roman" w:hAnsi="Times New Roman"/>
                  <w:color w:val="006fc4"/>
                  <w:sz w:val="20"/>
                </w:rPr>
                <w:t>, 491 U.S. 58, 71, 109 S.Ct. 2304, 105 L.Ed.2d 45 (1989)</w:t>
              </w:r>
            </w:hyperlink>
            <w:r>
              <w:rPr>
                <w:rFonts w:ascii="Times New Roman" w:hAnsi="Times New Roman"/>
                <w:color w:val="1f1f1f"/>
                <w:sz w:val="20"/>
              </w:rPr>
              <w:t xml:space="preserve">. But the CDOC and CDCJ raise Eleventh Amendment immunity for the first time on appeal. Given the absence of any such argument below, the district court had no obligation to address the Eleventh Amendment. </w:t>
            </w:r>
            <w:hyperlink r:id="r214">
              <w:r>
                <w:rPr>
                  <w:rFonts w:ascii="Times New Roman" w:hAnsi="Times New Roman"/>
                  <w:i/>
                  <w:color w:val="006fc4"/>
                  <w:sz w:val="20"/>
                </w:rPr>
                <w:t>Wis. Dep't of Corrs. v. Schacht</w:t>
              </w:r>
              <w:r>
                <w:rPr>
                  <w:rFonts w:ascii="Times New Roman" w:hAnsi="Times New Roman"/>
                  <w:color w:val="006fc4"/>
                  <w:sz w:val="20"/>
                </w:rPr>
                <w:t>, 524 U.S. 381, 389, 118 S.Ct. 2047, 141 L.Ed.2d 364 (1998)</w:t>
              </w:r>
            </w:hyperlink>
            <w:r>
              <w:rPr>
                <w:rFonts w:ascii="Times New Roman" w:hAnsi="Times New Roman"/>
                <w:color w:val="1f1f1f"/>
                <w:sz w:val="20"/>
              </w:rPr>
              <w:t>.</w:t>
            </w:r>
          </w:p>
        </w:tc>
      </w:tr>
      <w:tr>
        <w:tblPrEx/>
        <w:trPr/>
        <w:tc>
          <w:tcPr>
            <w:vAlign w:val="top"/>
          </w:tcPr>
          <w:p>
            <w:pPr>
              <w:spacing w:before="0" w:after="0" w:line="275" w:lineRule="atLeast"/>
            </w:pPr>
            <w:bookmarkStart w:id="212" w:name="co_footnote_B00142051884015_1"/>
            <w:hyperlink w:anchor="co_fnRef_B00142051884015_ID0EDHCI_1">
              <w:r>
                <w:rPr>
                  <w:rFonts w:ascii="Times New Roman" w:hAnsi="Times New Roman"/>
                  <w:color w:val="006fc4"/>
                  <w:sz w:val="20"/>
                  <w:vertAlign w:val="superscript"/>
                </w:rPr>
                <w:t>13</w:t>
              </w:r>
            </w:hyperlink>
            <w:bookmarkEnd w:id="212"/>
          </w:p>
        </w:tc>
        <w:tc>
          <w:tcPr>
            <w:vAlign w:val="top"/>
          </w:tcPr>
          <w:p>
            <w:pPr>
              <w:pBdr>
                <w:bottom w:val="none" w:space="8"/>
              </w:pBdr>
              <w:spacing w:before="0" w:after="0" w:line="275" w:lineRule="atLeast"/>
              <w:jc w:val="both"/>
            </w:pPr>
            <w:r>
              <w:rPr>
                <w:rFonts w:ascii="Times New Roman" w:hAnsi="Times New Roman"/>
                <w:color w:val="1f1f1f"/>
                <w:sz w:val="20"/>
              </w:rPr>
              <w:t>In district court, the CDOC and CDCJ also argued that they enjoyed Eleventh Amendment immunity on the claims under the Americans with Disabilities Act and Rehabilitation Act. The district court did not reach the Eleventh Amendment issue on these claims, and the CDOC and CDCJ have not briefed the issue here. We thus leave this issue to the district court to decide in the first instance.</w:t>
            </w:r>
          </w:p>
        </w:tc>
      </w:tr>
    </w:tbl>
    <w:p>
      <w:pPr>
        <w:spacing w:before="0" w:after="0" w:line="240" w:lineRule="auto"/>
        <w:rPr>
          <w:sz w:val="20"/>
        </w:rPr>
      </w:pPr>
    </w:p>
    <w:tbl>
      <w:tblPr>
        <w:tblInd w:w="24" w:type="dxa"/>
        <w:tblLayout w:type="fixed"/>
      </w:tblPr>
      <w:tblGrid>
        <w:gridCol w:w="4305"/>
        <w:gridCol w:w="5745"/>
      </w:tblGrid>
      <w:bookmarkStart w:id="213"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213"/>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59" name="Picture 0" descr="Westlaw Logo"/>
                <a:graphic>
                  <a:graphicData uri="http://schemas.openxmlformats.org/drawingml/2006/picture">
                    <p:pic>
                      <p:nvPicPr>
                        <p:cNvPr id="60"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Marks v. Colorado Department of Corrections, 976 F.3d 1087 (2020)</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